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rPr>
      </w:pPr>
    </w:p>
    <w:p>
      <w:pPr>
        <w:spacing w:line="400" w:lineRule="exact"/>
        <w:rPr>
          <w:rFonts w:ascii="宋体" w:hAnsi="宋体"/>
        </w:rPr>
      </w:pPr>
    </w:p>
    <w:p>
      <w:pPr>
        <w:spacing w:line="400" w:lineRule="exact"/>
        <w:rPr>
          <w:rFonts w:ascii="宋体" w:hAnsi="宋体"/>
          <w:sz w:val="31"/>
          <w:szCs w:val="31"/>
        </w:rPr>
      </w:pPr>
    </w:p>
    <w:p>
      <w:pPr>
        <w:spacing w:before="156" w:beforeLines="50" w:line="360" w:lineRule="auto"/>
        <w:jc w:val="center"/>
        <w:rPr>
          <w:rFonts w:ascii="宋体" w:hAnsi="宋体"/>
          <w:sz w:val="44"/>
          <w:szCs w:val="44"/>
        </w:rPr>
      </w:pPr>
      <w:r>
        <w:rPr>
          <w:rFonts w:hint="eastAsia" w:ascii="宋体" w:hAnsi="宋体"/>
          <w:sz w:val="44"/>
          <w:szCs w:val="44"/>
        </w:rPr>
        <w:t xml:space="preserve">北人智能装备科技有限公司                                 </w:t>
      </w:r>
    </w:p>
    <w:p>
      <w:pPr>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生产管理信息化</w:t>
      </w:r>
      <w:r>
        <w:rPr>
          <w:rFonts w:hint="eastAsia" w:asciiTheme="majorEastAsia" w:hAnsiTheme="majorEastAsia" w:eastAsiaTheme="majorEastAsia"/>
          <w:b/>
          <w:sz w:val="32"/>
          <w:szCs w:val="32"/>
          <w:lang w:val="en-US" w:eastAsia="zh-CN"/>
        </w:rPr>
        <w:t>升级改造</w:t>
      </w:r>
      <w:r>
        <w:rPr>
          <w:rFonts w:hint="eastAsia" w:asciiTheme="majorEastAsia" w:hAnsiTheme="majorEastAsia" w:eastAsiaTheme="majorEastAsia"/>
          <w:b/>
          <w:sz w:val="32"/>
          <w:szCs w:val="32"/>
        </w:rPr>
        <w:t>项目招标文件</w:t>
      </w:r>
    </w:p>
    <w:p>
      <w:pPr>
        <w:spacing w:line="440" w:lineRule="exact"/>
        <w:jc w:val="center"/>
        <w:rPr>
          <w:rFonts w:ascii="宋体" w:hAnsi="宋体"/>
          <w:sz w:val="31"/>
          <w:szCs w:val="31"/>
        </w:rPr>
      </w:pPr>
    </w:p>
    <w:p>
      <w:pPr>
        <w:spacing w:line="440" w:lineRule="exact"/>
        <w:jc w:val="center"/>
        <w:rPr>
          <w:rFonts w:ascii="宋体" w:hAnsi="宋体"/>
          <w:sz w:val="31"/>
          <w:szCs w:val="31"/>
        </w:rPr>
      </w:pPr>
    </w:p>
    <w:p>
      <w:pPr>
        <w:spacing w:line="440" w:lineRule="exact"/>
        <w:jc w:val="center"/>
        <w:rPr>
          <w:rFonts w:ascii="宋体" w:hAnsi="宋体"/>
          <w:sz w:val="31"/>
          <w:szCs w:val="31"/>
        </w:rPr>
      </w:pPr>
    </w:p>
    <w:p>
      <w:pPr>
        <w:jc w:val="center"/>
        <w:rPr>
          <w:rFonts w:hint="default" w:asciiTheme="majorEastAsia" w:hAnsiTheme="majorEastAsia" w:eastAsiaTheme="majorEastAsia"/>
          <w:b/>
          <w:sz w:val="32"/>
          <w:szCs w:val="32"/>
          <w:lang w:val="en-US" w:eastAsia="zh-CN"/>
        </w:rPr>
      </w:pPr>
      <w:r>
        <w:rPr>
          <w:rFonts w:hint="eastAsia" w:asciiTheme="majorEastAsia" w:hAnsiTheme="majorEastAsia" w:eastAsiaTheme="majorEastAsia"/>
          <w:b/>
          <w:sz w:val="32"/>
          <w:szCs w:val="32"/>
        </w:rPr>
        <w:t>招标编号:北人智能申方字2019年第</w:t>
      </w:r>
      <w:r>
        <w:rPr>
          <w:rFonts w:hint="eastAsia" w:asciiTheme="majorEastAsia" w:hAnsiTheme="majorEastAsia" w:eastAsiaTheme="majorEastAsia"/>
          <w:b/>
          <w:sz w:val="32"/>
          <w:szCs w:val="32"/>
          <w:lang w:val="en-US" w:eastAsia="zh-CN"/>
        </w:rPr>
        <w:t>003</w:t>
      </w:r>
      <w:r>
        <w:rPr>
          <w:rFonts w:hint="eastAsia" w:asciiTheme="majorEastAsia" w:hAnsiTheme="majorEastAsia" w:eastAsiaTheme="majorEastAsia"/>
          <w:b/>
          <w:sz w:val="32"/>
          <w:szCs w:val="32"/>
        </w:rPr>
        <w:t>号</w:t>
      </w:r>
    </w:p>
    <w:p>
      <w:pPr>
        <w:jc w:val="center"/>
        <w:rPr>
          <w:rFonts w:hint="eastAsia" w:asciiTheme="majorEastAsia" w:hAnsiTheme="majorEastAsia" w:eastAsiaTheme="majorEastAsia"/>
          <w:b/>
          <w:sz w:val="32"/>
          <w:szCs w:val="32"/>
        </w:rPr>
      </w:pPr>
    </w:p>
    <w:p>
      <w:pPr>
        <w:rPr>
          <w:rFonts w:ascii="宋体" w:hAnsi="宋体"/>
          <w:b/>
          <w:sz w:val="28"/>
          <w:szCs w:val="28"/>
        </w:rPr>
      </w:pPr>
    </w:p>
    <w:p>
      <w:pPr>
        <w:rPr>
          <w:rFonts w:ascii="宋体" w:hAnsi="宋体"/>
          <w:b/>
          <w:sz w:val="28"/>
          <w:szCs w:val="28"/>
        </w:rPr>
      </w:pPr>
    </w:p>
    <w:p>
      <w:pPr>
        <w:spacing w:line="920" w:lineRule="exact"/>
        <w:jc w:val="center"/>
        <w:rPr>
          <w:rFonts w:ascii="宋体" w:hAnsi="宋体"/>
          <w:sz w:val="72"/>
          <w:szCs w:val="72"/>
        </w:rPr>
      </w:pPr>
    </w:p>
    <w:p>
      <w:pPr>
        <w:spacing w:line="920" w:lineRule="exact"/>
        <w:jc w:val="center"/>
        <w:rPr>
          <w:rFonts w:ascii="宋体" w:hAnsi="宋体"/>
          <w:sz w:val="36"/>
          <w:szCs w:val="36"/>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600" w:lineRule="exact"/>
        <w:ind w:firstLine="720" w:firstLineChars="300"/>
        <w:rPr>
          <w:rFonts w:ascii="宋体" w:hAnsi="宋体"/>
          <w:sz w:val="24"/>
        </w:rPr>
      </w:pPr>
    </w:p>
    <w:p>
      <w:pPr>
        <w:spacing w:line="600" w:lineRule="exact"/>
        <w:ind w:firstLine="2160" w:firstLineChars="900"/>
        <w:rPr>
          <w:rFonts w:ascii="宋体" w:hAnsi="宋体"/>
          <w:sz w:val="24"/>
        </w:rPr>
      </w:pPr>
      <w:r>
        <w:rPr>
          <w:rFonts w:hint="eastAsia" w:ascii="宋体" w:hAnsi="宋体"/>
          <w:sz w:val="24"/>
        </w:rPr>
        <w:t>招标人：</w:t>
      </w:r>
      <w:r>
        <w:rPr>
          <w:rFonts w:hint="eastAsia" w:ascii="宋体" w:hAnsi="宋体"/>
          <w:sz w:val="24"/>
          <w:u w:val="single"/>
        </w:rPr>
        <w:t xml:space="preserve"> </w:t>
      </w:r>
      <w:r>
        <w:rPr>
          <w:rFonts w:hint="eastAsia"/>
          <w:color w:val="333333"/>
          <w:szCs w:val="21"/>
          <w:u w:val="single"/>
        </w:rPr>
        <w:t>北人智能装备科技有限公司</w:t>
      </w:r>
      <w:r>
        <w:rPr>
          <w:rFonts w:hint="eastAsia" w:ascii="宋体" w:hAnsi="宋体"/>
          <w:sz w:val="24"/>
          <w:u w:val="single"/>
        </w:rPr>
        <w:t xml:space="preserve">            </w:t>
      </w:r>
    </w:p>
    <w:p>
      <w:pPr>
        <w:spacing w:line="600" w:lineRule="exact"/>
        <w:jc w:val="center"/>
        <w:rPr>
          <w:rFonts w:ascii="宋体" w:hAnsi="宋体"/>
          <w:b/>
          <w:sz w:val="24"/>
        </w:rPr>
      </w:pPr>
      <w:r>
        <w:rPr>
          <w:rFonts w:ascii="宋体" w:hAnsi="宋体"/>
          <w:sz w:val="24"/>
          <w:u w:val="single"/>
        </w:rPr>
        <w:t xml:space="preserve">              </w:t>
      </w:r>
      <w:r>
        <w:rPr>
          <w:rFonts w:hint="eastAsia" w:ascii="宋体" w:hAnsi="宋体"/>
          <w:sz w:val="24"/>
          <w:u w:val="single"/>
        </w:rPr>
        <w:t>201</w:t>
      </w:r>
      <w:r>
        <w:rPr>
          <w:rFonts w:ascii="宋体" w:hAnsi="宋体"/>
          <w:sz w:val="24"/>
          <w:u w:val="single"/>
        </w:rPr>
        <w:t>9</w:t>
      </w:r>
      <w:r>
        <w:rPr>
          <w:rFonts w:hint="eastAsia" w:ascii="宋体" w:hAnsi="宋体"/>
          <w:sz w:val="24"/>
          <w:u w:val="single"/>
        </w:rPr>
        <w:t xml:space="preserve">年 9 月 </w:t>
      </w:r>
      <w:r>
        <w:rPr>
          <w:rFonts w:ascii="宋体" w:hAnsi="宋体"/>
          <w:sz w:val="24"/>
          <w:u w:val="single"/>
        </w:rPr>
        <w:t>15</w:t>
      </w:r>
      <w:r>
        <w:rPr>
          <w:rFonts w:hint="eastAsia" w:ascii="宋体" w:hAnsi="宋体"/>
          <w:sz w:val="24"/>
          <w:u w:val="single"/>
        </w:rPr>
        <w:t xml:space="preserve"> 日          </w:t>
      </w:r>
    </w:p>
    <w:p/>
    <w:p/>
    <w:p/>
    <w:p/>
    <w:p>
      <w:pPr>
        <w:pStyle w:val="2"/>
        <w:numPr>
          <w:ilvl w:val="0"/>
          <w:numId w:val="1"/>
        </w:numPr>
      </w:pPr>
      <w:bookmarkStart w:id="0" w:name="_Toc491703429"/>
      <w:bookmarkStart w:id="1" w:name="_Toc493173502"/>
      <w:bookmarkStart w:id="2" w:name="_Toc493173503"/>
      <w:bookmarkStart w:id="3" w:name="_Toc491703430"/>
      <w:r>
        <w:rPr>
          <w:rFonts w:hint="eastAsia"/>
        </w:rPr>
        <w:t>第一章 北人智能装备科技有限公司</w:t>
      </w:r>
      <w:bookmarkEnd w:id="0"/>
      <w:bookmarkEnd w:id="1"/>
      <w:r>
        <w:rPr>
          <w:rFonts w:hint="eastAsia"/>
        </w:rPr>
        <w:t>招标</w:t>
      </w:r>
    </w:p>
    <w:p>
      <w:pPr>
        <w:pStyle w:val="14"/>
        <w:numPr>
          <w:ilvl w:val="1"/>
          <w:numId w:val="1"/>
        </w:numPr>
      </w:pPr>
      <w:r>
        <w:rPr>
          <w:rFonts w:hint="eastAsia"/>
        </w:rPr>
        <w:t>招标条件</w:t>
      </w:r>
      <w:bookmarkEnd w:id="2"/>
      <w:bookmarkEnd w:id="3"/>
    </w:p>
    <w:p>
      <w:pPr>
        <w:spacing w:line="360" w:lineRule="auto"/>
        <w:ind w:firstLine="420" w:firstLineChars="200"/>
        <w:rPr>
          <w:rFonts w:ascii="宋体" w:hAnsi="宋体"/>
          <w:szCs w:val="21"/>
        </w:rPr>
      </w:pPr>
      <w:r>
        <w:rPr>
          <w:rFonts w:hint="eastAsia" w:ascii="宋体" w:hAnsi="宋体"/>
          <w:szCs w:val="21"/>
        </w:rPr>
        <w:t>本招标项目</w:t>
      </w:r>
      <w:r>
        <w:rPr>
          <w:rFonts w:hint="eastAsia" w:ascii="宋体" w:hAnsi="宋体"/>
          <w:b/>
          <w:szCs w:val="21"/>
        </w:rPr>
        <w:t>生产管理信息化项目</w:t>
      </w:r>
      <w:r>
        <w:rPr>
          <w:rFonts w:hint="eastAsia" w:ascii="宋体" w:hAnsi="宋体"/>
          <w:szCs w:val="21"/>
        </w:rPr>
        <w:t xml:space="preserve">已批准实施，项目业主为 </w:t>
      </w:r>
      <w:r>
        <w:rPr>
          <w:rFonts w:hint="eastAsia"/>
          <w:color w:val="333333"/>
          <w:szCs w:val="21"/>
          <w:u w:val="single"/>
        </w:rPr>
        <w:t>北人智能装备科技有限公司</w:t>
      </w:r>
      <w:r>
        <w:rPr>
          <w:rFonts w:hint="eastAsia" w:ascii="宋体" w:hAnsi="宋体"/>
          <w:sz w:val="24"/>
          <w:u w:val="single"/>
        </w:rPr>
        <w:t xml:space="preserve"> </w:t>
      </w:r>
      <w:r>
        <w:rPr>
          <w:rFonts w:hint="eastAsia" w:ascii="宋体" w:hAnsi="宋体"/>
          <w:szCs w:val="21"/>
        </w:rPr>
        <w:t>，建设资金已落实，招标人为</w:t>
      </w:r>
      <w:r>
        <w:rPr>
          <w:rFonts w:hint="eastAsia" w:ascii="宋体" w:hAnsi="宋体"/>
          <w:szCs w:val="21"/>
          <w:u w:val="single"/>
        </w:rPr>
        <w:t xml:space="preserve"> </w:t>
      </w:r>
      <w:r>
        <w:rPr>
          <w:rFonts w:hint="eastAsia"/>
          <w:color w:val="333333"/>
          <w:szCs w:val="21"/>
          <w:u w:val="single"/>
        </w:rPr>
        <w:t>北人智能装备科技有限公司</w:t>
      </w:r>
      <w:r>
        <w:rPr>
          <w:rFonts w:hint="eastAsia" w:ascii="宋体" w:hAnsi="宋体"/>
          <w:sz w:val="24"/>
          <w:u w:val="single"/>
        </w:rPr>
        <w:t xml:space="preserve"> </w:t>
      </w:r>
      <w:r>
        <w:rPr>
          <w:rFonts w:hint="eastAsia" w:ascii="宋体" w:hAnsi="宋体"/>
          <w:szCs w:val="21"/>
        </w:rPr>
        <w:t>。本项目</w:t>
      </w:r>
      <w:r>
        <w:rPr>
          <w:rFonts w:hint="eastAsia" w:ascii="宋体" w:hAnsi="宋体"/>
          <w:szCs w:val="21"/>
          <w:u w:val="single"/>
        </w:rPr>
        <w:t xml:space="preserve"> 生产</w:t>
      </w:r>
      <w:r>
        <w:rPr>
          <w:rFonts w:hint="eastAsia" w:ascii="宋体" w:hAnsi="宋体"/>
          <w:szCs w:val="21"/>
          <w:u w:val="single"/>
          <w:lang w:eastAsia="zh-CN"/>
        </w:rPr>
        <w:t>管理信息化</w:t>
      </w:r>
      <w:r>
        <w:rPr>
          <w:rFonts w:hint="eastAsia" w:ascii="宋体" w:hAnsi="宋体"/>
          <w:szCs w:val="21"/>
          <w:u w:val="single"/>
          <w:lang w:val="en-US" w:eastAsia="zh-CN"/>
        </w:rPr>
        <w:t>升级改造项目</w:t>
      </w:r>
      <w:r>
        <w:rPr>
          <w:rFonts w:hint="eastAsia" w:ascii="宋体" w:hAnsi="宋体"/>
          <w:szCs w:val="21"/>
          <w:u w:val="single"/>
        </w:rPr>
        <w:t xml:space="preserve"> </w:t>
      </w:r>
      <w:r>
        <w:rPr>
          <w:rFonts w:hint="eastAsia" w:ascii="宋体" w:hAnsi="宋体"/>
          <w:szCs w:val="21"/>
        </w:rPr>
        <w:t>已具备招标条件，现进行公开</w:t>
      </w:r>
      <w:r>
        <w:rPr>
          <w:rFonts w:hint="eastAsia" w:ascii="宋体" w:hAnsi="宋体"/>
          <w:szCs w:val="21"/>
          <w:u w:val="single"/>
        </w:rPr>
        <w:t>招标</w:t>
      </w: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1、项目编号：</w:t>
      </w:r>
      <w:r>
        <w:rPr>
          <w:rFonts w:hint="eastAsia" w:ascii="华文仿宋" w:hAnsi="华文仿宋" w:eastAsia="华文仿宋"/>
          <w:color w:val="000000"/>
          <w:kern w:val="0"/>
          <w:sz w:val="24"/>
        </w:rPr>
        <w:t>brznMES20190915</w:t>
      </w:r>
    </w:p>
    <w:p>
      <w:pPr>
        <w:spacing w:line="360" w:lineRule="auto"/>
        <w:ind w:firstLine="420" w:firstLineChars="200"/>
        <w:rPr>
          <w:rFonts w:ascii="宋体" w:hAnsi="宋体"/>
          <w:szCs w:val="21"/>
        </w:rPr>
      </w:pPr>
      <w:r>
        <w:rPr>
          <w:rFonts w:hint="eastAsia" w:ascii="宋体" w:hAnsi="宋体"/>
          <w:szCs w:val="21"/>
        </w:rPr>
        <w:t>2、采购组织类型：北人智能装备科技有限公司</w:t>
      </w:r>
    </w:p>
    <w:p>
      <w:pPr>
        <w:spacing w:line="360" w:lineRule="auto"/>
        <w:ind w:firstLine="420" w:firstLineChars="200"/>
        <w:rPr>
          <w:rFonts w:ascii="宋体" w:hAnsi="宋体"/>
          <w:szCs w:val="21"/>
        </w:rPr>
      </w:pPr>
      <w:r>
        <w:rPr>
          <w:rFonts w:hint="eastAsia" w:ascii="宋体" w:hAnsi="宋体"/>
          <w:szCs w:val="21"/>
        </w:rPr>
        <w:t>3、采购方式：公开招标，</w:t>
      </w:r>
      <w:r>
        <w:rPr>
          <w:rFonts w:hint="eastAsia" w:ascii="宋体" w:hAnsi="宋体"/>
          <w:b w:val="0"/>
          <w:bCs w:val="0"/>
          <w:szCs w:val="21"/>
        </w:rPr>
        <w:t>密封递价方式</w:t>
      </w:r>
    </w:p>
    <w:p>
      <w:pPr>
        <w:pStyle w:val="14"/>
        <w:numPr>
          <w:ilvl w:val="1"/>
          <w:numId w:val="1"/>
        </w:numPr>
        <w:spacing w:after="156" w:afterLines="50"/>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 xml:space="preserve"> 招标内容</w:t>
      </w:r>
    </w:p>
    <w:p>
      <w:pPr>
        <w:pStyle w:val="20"/>
        <w:numPr>
          <w:ilvl w:val="2"/>
          <w:numId w:val="1"/>
        </w:numPr>
        <w:ind w:firstLineChars="0"/>
      </w:pPr>
      <w:r>
        <w:rPr>
          <w:rFonts w:hint="eastAsia"/>
        </w:rPr>
        <w:t>软件外包内容</w:t>
      </w:r>
    </w:p>
    <w:tbl>
      <w:tblPr>
        <w:tblStyle w:val="11"/>
        <w:tblW w:w="9265" w:type="dxa"/>
        <w:tblInd w:w="0" w:type="dxa"/>
        <w:tblLayout w:type="fixed"/>
        <w:tblCellMar>
          <w:top w:w="0" w:type="dxa"/>
          <w:left w:w="0" w:type="dxa"/>
          <w:bottom w:w="0" w:type="dxa"/>
          <w:right w:w="0" w:type="dxa"/>
        </w:tblCellMar>
      </w:tblPr>
      <w:tblGrid>
        <w:gridCol w:w="900"/>
        <w:gridCol w:w="900"/>
        <w:gridCol w:w="2796"/>
        <w:gridCol w:w="4669"/>
      </w:tblGrid>
      <w:tr>
        <w:tblPrEx>
          <w:tblLayout w:type="fixed"/>
          <w:tblCellMar>
            <w:top w:w="0" w:type="dxa"/>
            <w:left w:w="0" w:type="dxa"/>
            <w:bottom w:w="0" w:type="dxa"/>
            <w:right w:w="0" w:type="dxa"/>
          </w:tblCellMar>
        </w:tblPrEx>
        <w:trPr>
          <w:trHeight w:val="561" w:hRule="atLeast"/>
        </w:trPr>
        <w:tc>
          <w:tcPr>
            <w:tcW w:w="9265" w:type="dxa"/>
            <w:gridSpan w:val="4"/>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MES功能列表</w:t>
            </w:r>
          </w:p>
        </w:tc>
      </w:tr>
      <w:tr>
        <w:tblPrEx>
          <w:tblLayout w:type="fixed"/>
          <w:tblCellMar>
            <w:top w:w="0" w:type="dxa"/>
            <w:left w:w="0" w:type="dxa"/>
            <w:bottom w:w="0" w:type="dxa"/>
            <w:right w:w="0" w:type="dxa"/>
          </w:tblCellMar>
        </w:tblPrEx>
        <w:trPr>
          <w:trHeight w:val="552"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一级功能</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二级功能</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功能页面</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详细描述</w:t>
            </w:r>
          </w:p>
        </w:tc>
      </w:tr>
      <w:tr>
        <w:tblPrEx>
          <w:tblLayout w:type="fixed"/>
          <w:tblCellMar>
            <w:top w:w="0" w:type="dxa"/>
            <w:left w:w="0" w:type="dxa"/>
            <w:bottom w:w="0" w:type="dxa"/>
            <w:right w:w="0" w:type="dxa"/>
          </w:tblCellMar>
        </w:tblPrEx>
        <w:trPr>
          <w:trHeight w:val="828"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物流</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条码打印（均可批量打印）</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车间任务（自制和外协）条码打印</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条码上需包含任务号、物料号、物料名称、数量、打印日期等文字信息及二维码。需考虑打印标识，如果已经打印，显示已打印。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1104"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采购任务条码打印</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条码上需包含任务号、订单号、产品任务号、物料号、物料名称、数量、打印日期等文字信息及二维码。需考虑打印标识，如果已经打印，显示已打印。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物料条码打印功能（不带任务）</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1740"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物流配送</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物流配送任务</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1、配送任务可根据参数（开工前几天）进行自动下达，也可手工下达。</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2、显示物流所需配送任务信息，如果库房有物料，提醒。</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3、可进行配送清单打印。</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4、配送完成需进行配送完成设置。</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物流清单模板及打印</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根据配盘表，快速打印出任务的工位领料清单，根据清单配盘后可进行快速领料单据录入。</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扫码完工入库</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根据车间任务条码，快速扫描任务码，终端只需更改数量即可完成入库操作。提醒领料。</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扫码采购入库</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根据采购任务条码，快速扫描任务码，终端只需更改数量即可完成入库操作。提醒领料。</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扫码领料</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根据领料任务条码和工位条码，系统自动列出该工位需领物料明细，终端可方便进行物料勾选及数量修改，快速完成领料操作。</w:t>
            </w:r>
          </w:p>
        </w:tc>
      </w:tr>
      <w:tr>
        <w:tblPrEx>
          <w:tblLayout w:type="fixed"/>
          <w:tblCellMar>
            <w:top w:w="0" w:type="dxa"/>
            <w:left w:w="0" w:type="dxa"/>
            <w:bottom w:w="0" w:type="dxa"/>
            <w:right w:w="0" w:type="dxa"/>
          </w:tblCellMar>
        </w:tblPrEx>
        <w:trPr>
          <w:trHeight w:val="828"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生产</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作业调度</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调度派工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按照计划情况进行派工，派工时对整个任务进行安排，系统自动根据工序编排计划生成各工序的起止时间，可做修改。</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装配任务作业单模板及打印</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设置打印标识，已打印的置为已打印标识。</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派工调整</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调度确认界面</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消息提醒，对车间的完成工序任务进行确认</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车间操作</w:t>
            </w: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车间终端任务</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在车间终端上显示任务信息及围绕任务的所有车间操作（查看物流信息、工艺作业指导书、质检手册、车间报工等）。</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终端报工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任务当前工序完成后进行报工。由班长签字确认后在系统做完工报工。</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终端查看工艺操作手册</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操作工在操作终端可直观的查看该任务的工艺操作手册。（终端可预览，但下载分权限）</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终端查看检验标准</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操作工在操作终端可直观的查看该任务的检验标准。（终端可预览，但下载分权限）</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缺件信息查看</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在车间操作终端可直接查看本任务的缺件信息。</w:t>
            </w:r>
          </w:p>
        </w:tc>
      </w:tr>
      <w:tr>
        <w:tblPrEx>
          <w:tblLayout w:type="fixed"/>
          <w:tblCellMar>
            <w:top w:w="0" w:type="dxa"/>
            <w:left w:w="0" w:type="dxa"/>
            <w:bottom w:w="0" w:type="dxa"/>
            <w:right w:w="0" w:type="dxa"/>
          </w:tblCellMar>
        </w:tblPrEx>
        <w:trPr>
          <w:trHeight w:val="1104"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作业异常情况上报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生产提供异常情况类别，在车间终端可进行异常情况上报，相应人员可见并进行反馈（通过OA流程。退料申请、换料申请、装配废品补领申请、返修申请、返工（类型）申请。</w:t>
            </w:r>
          </w:p>
        </w:tc>
      </w:tr>
      <w:tr>
        <w:tblPrEx>
          <w:tblLayout w:type="fixed"/>
          <w:tblCellMar>
            <w:top w:w="0" w:type="dxa"/>
            <w:left w:w="0" w:type="dxa"/>
            <w:bottom w:w="0" w:type="dxa"/>
            <w:right w:w="0" w:type="dxa"/>
          </w:tblCellMar>
        </w:tblPrEx>
        <w:trPr>
          <w:trHeight w:val="1380"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任务详细情况一览</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通过扫码（或输入任务号）可显示任务的所有情况，包括任务的详细信息、任务的修改记录、领料情况、出入库记录、工艺路线单、工票、，在车间现场的一台终端上，现场管理人员可通过扫码能清楚的掌握任务信息</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产品订单查询</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可进行按年、月等统计，显示订单完结情况、发货信息等。</w:t>
            </w:r>
          </w:p>
        </w:tc>
      </w:tr>
      <w:tr>
        <w:tblPrEx>
          <w:tblLayout w:type="fixed"/>
          <w:tblCellMar>
            <w:top w:w="0" w:type="dxa"/>
            <w:left w:w="0" w:type="dxa"/>
            <w:bottom w:w="0" w:type="dxa"/>
            <w:right w:w="0" w:type="dxa"/>
          </w:tblCellMar>
        </w:tblPrEx>
        <w:trPr>
          <w:trHeight w:val="276"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质量管理</w:t>
            </w:r>
          </w:p>
        </w:tc>
        <w:tc>
          <w:tcPr>
            <w:tcW w:w="900" w:type="dxa"/>
            <w:vMerge w:val="restart"/>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检验项目定义</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根据项目类别定义不同的检验项目</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质检信息填报（工序级）</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按照工序检验项目进行质检信息填报。</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要求：质检人员可方便的在pad上进行质检信息点选操作提交。</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快速生成来料质检单（含零件或采购）</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根据参数，确定某个点的哪些来料需要检验，直接生成质检单据。</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质检信息填报（零件或采购件）</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按照零件或采购件的质检单检验项目进行质检信息填报。合格的单据可直接转入库。</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装配废品填报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扫任务码和项目代码，填报废品数量。</w:t>
            </w:r>
            <w:r>
              <w:rPr>
                <w:rFonts w:hint="eastAsia" w:asciiTheme="minorEastAsia" w:hAnsiTheme="minorEastAsia" w:eastAsiaTheme="minorEastAsia" w:cstheme="minorEastAsia"/>
                <w:color w:val="000000"/>
                <w:kern w:val="0"/>
                <w:sz w:val="21"/>
                <w:szCs w:val="21"/>
                <w:lang w:bidi="ar"/>
              </w:rPr>
              <w:br w:type="textWrapping"/>
            </w:r>
            <w:r>
              <w:rPr>
                <w:rFonts w:hint="eastAsia" w:asciiTheme="minorEastAsia" w:hAnsiTheme="minorEastAsia" w:eastAsiaTheme="minorEastAsia" w:cstheme="minorEastAsia"/>
                <w:color w:val="000000"/>
                <w:kern w:val="0"/>
                <w:sz w:val="21"/>
                <w:szCs w:val="21"/>
                <w:lang w:bidi="ar"/>
              </w:rPr>
              <w:t>要求：质检人员可方便的在pad上进行质检信息点选操作提交。</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质检报表</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根据质检部门的要求出具质检报表</w:t>
            </w:r>
          </w:p>
        </w:tc>
      </w:tr>
      <w:tr>
        <w:tblPrEx>
          <w:tblLayout w:type="fixed"/>
          <w:tblCellMar>
            <w:top w:w="0" w:type="dxa"/>
            <w:left w:w="0" w:type="dxa"/>
            <w:bottom w:w="0" w:type="dxa"/>
            <w:right w:w="0" w:type="dxa"/>
          </w:tblCellMar>
        </w:tblPrEx>
        <w:trPr>
          <w:trHeight w:val="276" w:hRule="atLeast"/>
        </w:trPr>
        <w:tc>
          <w:tcPr>
            <w:tcW w:w="90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检验结果上传</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在任务工序上将检验结果进行拍照上传。</w:t>
            </w:r>
          </w:p>
        </w:tc>
      </w:tr>
      <w:tr>
        <w:tblPrEx>
          <w:tblLayout w:type="fixed"/>
          <w:tblCellMar>
            <w:top w:w="0" w:type="dxa"/>
            <w:left w:w="0" w:type="dxa"/>
            <w:bottom w:w="0" w:type="dxa"/>
            <w:right w:w="0" w:type="dxa"/>
          </w:tblCellMar>
        </w:tblPrEx>
        <w:trPr>
          <w:trHeight w:val="276" w:hRule="atLeast"/>
        </w:trPr>
        <w:tc>
          <w:tcPr>
            <w:tcW w:w="90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质量数据传输与处理</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测量数据通过端口上传，按数据处理要求生成报表（墙板与偏心套数据、配轴承数据等）</w:t>
            </w:r>
          </w:p>
        </w:tc>
      </w:tr>
      <w:tr>
        <w:tblPrEx>
          <w:tblLayout w:type="fixed"/>
          <w:tblCellMar>
            <w:top w:w="0" w:type="dxa"/>
            <w:left w:w="0" w:type="dxa"/>
            <w:bottom w:w="0" w:type="dxa"/>
            <w:right w:w="0" w:type="dxa"/>
          </w:tblCellMar>
        </w:tblPrEx>
        <w:trPr>
          <w:trHeight w:val="552"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异常信息</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拖期任务（产品、机组、部装）</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分别展示产品、机组、部装的拖期任务。</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拖期工序</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分别展示产品、机组、部装的拖期工序任务。</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质量问题</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将质检过程中发生的质量问题可按时间进行展示。</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车间异常汇总</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按时间段、按异常类型可分别汇总异常信息。</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缺料信息</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一分钟刷新一次</w:t>
            </w:r>
          </w:p>
        </w:tc>
      </w:tr>
      <w:tr>
        <w:tblPrEx>
          <w:tblLayout w:type="fixed"/>
          <w:tblCellMar>
            <w:top w:w="0" w:type="dxa"/>
            <w:left w:w="0" w:type="dxa"/>
            <w:bottom w:w="0" w:type="dxa"/>
            <w:right w:w="0" w:type="dxa"/>
          </w:tblCellMar>
        </w:tblPrEx>
        <w:trPr>
          <w:trHeight w:val="276"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看板</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任务甘特图</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val="en-US" w:eastAsia="zh-CN" w:bidi="ar"/>
              </w:rPr>
              <w:t>生产计划</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月度生产计划（甘特图、看板）、计划状态（正常、调整、拖期）</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生产计划</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订单计划</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订单及进程、统计报表</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lang w:val="en-US" w:eastAsia="zh-CN"/>
              </w:rPr>
              <w:t>机组任务及部装任务进程及统计报表</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lang w:val="en-US" w:eastAsia="zh-CN"/>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bidi="ar"/>
              </w:rPr>
              <w:t>拖期任务汇总</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拖期任务、任务相关异常要素</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月完工情况统计</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分别按产品、机组、部装统计，可统计近三年的对比情况。</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人员工时汇总</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按时间段对人员工时进行汇总</w:t>
            </w:r>
          </w:p>
        </w:tc>
      </w:tr>
      <w:tr>
        <w:tblPrEx>
          <w:tblLayout w:type="fixed"/>
          <w:tblCellMar>
            <w:top w:w="0" w:type="dxa"/>
            <w:left w:w="0" w:type="dxa"/>
            <w:bottom w:w="0" w:type="dxa"/>
            <w:right w:w="0" w:type="dxa"/>
          </w:tblCellMar>
        </w:tblPrEx>
        <w:trPr>
          <w:trHeight w:val="828"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移动端</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外协和自制任务条码打印(移动端）</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条码上需包含任务号、物料号、物料名称、数量、打印日期等文字信息及二维码。需考虑打印标识，如果已经打印，显示已打印。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1104"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采购任务条码打印(移动端）</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条码上需包含任务号、订单号、产品任务号、物料号、物料名称、数量、打印日期等文字信息及二维码。需考虑打印标识，如果已经打印，显示已打印。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物料条码打印功能（不带任务）(移动端）</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条码上需包含物料号、物料名称、数量、打印日期等文字信息及二维码。需考虑打印标识，如果已经打印，显示已打印。</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扫码完工入库</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移动端扫车间任务二维码，显示任务信息，核对或修改数量后即可完成任务的入库功能。（显示货位信息）</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扫码采购入库</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移动端扫采购任务二维码，显示任务信息，核对或修改数量后即可完成任务的入库功能。</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扫码领料</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需记录领出物资的批号（任务号）。</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调度作业确认</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移动端模式</w:t>
            </w:r>
          </w:p>
        </w:tc>
      </w:tr>
      <w:tr>
        <w:tblPrEx>
          <w:tblLayout w:type="fixed"/>
          <w:tblCellMar>
            <w:top w:w="0" w:type="dxa"/>
            <w:left w:w="0" w:type="dxa"/>
            <w:bottom w:w="0" w:type="dxa"/>
            <w:right w:w="0" w:type="dxa"/>
          </w:tblCellMar>
        </w:tblPrEx>
        <w:trPr>
          <w:trHeight w:val="828"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交转单</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完工入库车间领料，对于直接履行出入库手续的单据，可直接通过此移动端功能进行扫码完成一入一出操作。</w:t>
            </w:r>
          </w:p>
        </w:tc>
      </w:tr>
      <w:tr>
        <w:tblPrEx>
          <w:tblLayout w:type="fixed"/>
          <w:tblCellMar>
            <w:top w:w="0" w:type="dxa"/>
            <w:left w:w="0" w:type="dxa"/>
            <w:bottom w:w="0" w:type="dxa"/>
            <w:right w:w="0" w:type="dxa"/>
          </w:tblCellMar>
        </w:tblPrEx>
        <w:trPr>
          <w:trHeight w:val="552"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质检信息填报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对于需要检验的物料或工序，移动端需提供信息填报入口。</w:t>
            </w:r>
          </w:p>
        </w:tc>
      </w:tr>
      <w:tr>
        <w:tblPrEx>
          <w:tblLayout w:type="fixed"/>
          <w:tblCellMar>
            <w:top w:w="0" w:type="dxa"/>
            <w:left w:w="0" w:type="dxa"/>
            <w:bottom w:w="0" w:type="dxa"/>
            <w:right w:w="0" w:type="dxa"/>
          </w:tblCellMar>
        </w:tblPrEx>
        <w:trPr>
          <w:trHeight w:val="828" w:hRule="atLeast"/>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其他</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生产计划通知单外部表单</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将生产计划通知单与销产字通知单、技术通知单加以关联，方便销售、技术、生产各个业务工作的串联。</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生产计划通知单查询</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可以方便快捷的通过关键字进行通知单的查询</w:t>
            </w:r>
          </w:p>
        </w:tc>
      </w:tr>
      <w:tr>
        <w:tblPrEx>
          <w:tblLayout w:type="fixed"/>
          <w:tblCellMar>
            <w:top w:w="0" w:type="dxa"/>
            <w:left w:w="0" w:type="dxa"/>
            <w:bottom w:w="0" w:type="dxa"/>
            <w:right w:w="0" w:type="dxa"/>
          </w:tblCellMar>
        </w:tblPrEx>
        <w:trPr>
          <w:trHeight w:val="276" w:hRule="atLeast"/>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color w:val="000000"/>
                <w:sz w:val="21"/>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Theme="minorEastAsia" w:hAnsiTheme="minorEastAsia" w:eastAsiaTheme="minorEastAsia" w:cstheme="minorEastAsia"/>
                <w:color w:val="000000"/>
                <w:sz w:val="21"/>
                <w:szCs w:val="21"/>
              </w:rPr>
            </w:pPr>
          </w:p>
        </w:tc>
        <w:tc>
          <w:tcPr>
            <w:tcW w:w="27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接口对接</w:t>
            </w:r>
          </w:p>
        </w:tc>
        <w:tc>
          <w:tcPr>
            <w:tcW w:w="4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bidi="ar"/>
              </w:rPr>
              <w:t>ERP与MES之间的接口改造</w:t>
            </w:r>
          </w:p>
        </w:tc>
      </w:tr>
    </w:tbl>
    <w:p>
      <w:pPr>
        <w:pStyle w:val="20"/>
        <w:ind w:firstLine="420"/>
      </w:pPr>
    </w:p>
    <w:p>
      <w:pPr>
        <w:numPr>
          <w:ilvl w:val="2"/>
          <w:numId w:val="1"/>
        </w:numPr>
        <w:spacing w:line="360" w:lineRule="auto"/>
        <w:rPr>
          <w:rFonts w:ascii="宋体" w:hAnsi="宋体"/>
          <w:szCs w:val="21"/>
        </w:rPr>
      </w:pPr>
      <w:r>
        <w:rPr>
          <w:rFonts w:hint="eastAsia" w:ascii="宋体" w:hAnsi="宋体"/>
          <w:szCs w:val="21"/>
        </w:rPr>
        <w:t>标的说明：</w:t>
      </w:r>
    </w:p>
    <w:p>
      <w:pPr>
        <w:spacing w:line="360" w:lineRule="auto"/>
        <w:ind w:firstLine="420" w:firstLineChars="200"/>
        <w:rPr>
          <w:rFonts w:ascii="宋体" w:hAnsi="宋体"/>
          <w:szCs w:val="21"/>
        </w:rPr>
      </w:pPr>
      <w:r>
        <w:rPr>
          <w:rFonts w:hint="eastAsia" w:ascii="宋体" w:hAnsi="宋体"/>
          <w:szCs w:val="21"/>
        </w:rPr>
        <w:t>1)</w:t>
      </w:r>
      <w:r>
        <w:rPr>
          <w:rFonts w:hint="eastAsia" w:ascii="宋体" w:hAnsi="宋体"/>
          <w:szCs w:val="21"/>
        </w:rPr>
        <w:tab/>
      </w:r>
      <w:r>
        <w:rPr>
          <w:rFonts w:hint="eastAsia" w:ascii="宋体" w:hAnsi="宋体"/>
          <w:szCs w:val="21"/>
        </w:rPr>
        <w:t>投标人认为招标项目存在不完善或不清楚的地方，可在"特别声明"中提出自己的意见及解决方案。</w:t>
      </w:r>
    </w:p>
    <w:p>
      <w:pPr>
        <w:spacing w:line="360" w:lineRule="auto"/>
        <w:ind w:firstLine="420" w:firstLineChars="200"/>
        <w:rPr>
          <w:rFonts w:ascii="宋体" w:hAnsi="宋体"/>
          <w:szCs w:val="21"/>
        </w:rPr>
      </w:pPr>
      <w:r>
        <w:rPr>
          <w:rFonts w:hint="eastAsia" w:ascii="宋体" w:hAnsi="宋体"/>
          <w:szCs w:val="21"/>
        </w:rPr>
        <w:t>2)</w:t>
      </w:r>
      <w:r>
        <w:rPr>
          <w:rFonts w:hint="eastAsia" w:ascii="宋体" w:hAnsi="宋体"/>
          <w:szCs w:val="21"/>
        </w:rPr>
        <w:tab/>
      </w:r>
      <w:r>
        <w:rPr>
          <w:rFonts w:hint="eastAsia" w:ascii="宋体" w:hAnsi="宋体"/>
          <w:szCs w:val="21"/>
        </w:rPr>
        <w:t>标的模块交付之前需完全测试通过，没有明显错误</w:t>
      </w:r>
    </w:p>
    <w:p>
      <w:pPr>
        <w:spacing w:line="360" w:lineRule="auto"/>
        <w:ind w:firstLine="420" w:firstLineChars="200"/>
        <w:rPr>
          <w:rFonts w:ascii="宋体" w:hAnsi="宋体"/>
          <w:szCs w:val="21"/>
        </w:rPr>
      </w:pPr>
      <w:r>
        <w:rPr>
          <w:rFonts w:hint="eastAsia" w:ascii="宋体" w:hAnsi="宋体"/>
          <w:szCs w:val="21"/>
        </w:rPr>
        <w:t>3） 软件版权归双方共同所有。</w:t>
      </w:r>
    </w:p>
    <w:p>
      <w:pPr>
        <w:spacing w:line="360" w:lineRule="auto"/>
        <w:ind w:firstLine="420" w:firstLineChars="200"/>
        <w:rPr>
          <w:rFonts w:ascii="宋体" w:hAnsi="宋体"/>
          <w:szCs w:val="21"/>
        </w:rPr>
      </w:pPr>
    </w:p>
    <w:p>
      <w:pPr>
        <w:pStyle w:val="14"/>
        <w:numPr>
          <w:ilvl w:val="1"/>
          <w:numId w:val="1"/>
        </w:numPr>
        <w:spacing w:after="156" w:afterLines="50"/>
        <w:rPr>
          <w:rFonts w:ascii="宋体" w:hAnsi="宋体" w:eastAsia="宋体"/>
          <w:b/>
          <w:color w:val="000000" w:themeColor="text1"/>
          <w14:textFill>
            <w14:solidFill>
              <w14:schemeClr w14:val="tx1"/>
            </w14:solidFill>
          </w14:textFill>
        </w:rPr>
      </w:pPr>
      <w:bookmarkStart w:id="4" w:name="_Toc493173504"/>
      <w:bookmarkStart w:id="5" w:name="_Toc491703431"/>
      <w:r>
        <w:rPr>
          <w:rFonts w:hint="eastAsia" w:ascii="宋体" w:hAnsi="宋体" w:eastAsia="宋体"/>
          <w:b/>
          <w:color w:val="000000" w:themeColor="text1"/>
          <w14:textFill>
            <w14:solidFill>
              <w14:schemeClr w14:val="tx1"/>
            </w14:solidFill>
          </w14:textFill>
        </w:rPr>
        <w:t>项目地点</w:t>
      </w:r>
      <w:bookmarkEnd w:id="4"/>
      <w:bookmarkEnd w:id="5"/>
    </w:p>
    <w:p>
      <w:pPr>
        <w:spacing w:line="360" w:lineRule="auto"/>
        <w:ind w:firstLine="420"/>
        <w:rPr>
          <w:rFonts w:ascii="宋体" w:hAnsi="宋体"/>
          <w:szCs w:val="21"/>
          <w:u w:val="single"/>
        </w:rPr>
      </w:pPr>
      <w:r>
        <w:rPr>
          <w:rFonts w:hint="eastAsia" w:ascii="宋体" w:hAnsi="宋体"/>
          <w:szCs w:val="21"/>
        </w:rPr>
        <w:t xml:space="preserve"> 项目地点</w:t>
      </w:r>
      <w:r>
        <w:rPr>
          <w:rFonts w:ascii="宋体" w:hAnsi="宋体"/>
          <w:szCs w:val="21"/>
        </w:rPr>
        <w:t>：</w:t>
      </w:r>
      <w:bookmarkStart w:id="6" w:name="_Hlk507481968"/>
      <w:r>
        <w:rPr>
          <w:rFonts w:hint="eastAsia" w:ascii="宋体" w:hAnsi="宋体"/>
          <w:szCs w:val="21"/>
          <w:u w:val="single"/>
        </w:rPr>
        <w:t>北京市大兴工业开发区科苑路25号</w:t>
      </w:r>
      <w:bookmarkEnd w:id="6"/>
    </w:p>
    <w:p>
      <w:pPr>
        <w:pStyle w:val="14"/>
        <w:numPr>
          <w:ilvl w:val="1"/>
          <w:numId w:val="1"/>
        </w:numPr>
        <w:spacing w:after="156" w:afterLines="50"/>
        <w:rPr>
          <w:rFonts w:ascii="宋体" w:hAnsi="宋体" w:eastAsia="宋体"/>
          <w:b/>
        </w:rPr>
      </w:pPr>
      <w:bookmarkStart w:id="7" w:name="_Toc493173505"/>
      <w:bookmarkStart w:id="8" w:name="_Toc491703432"/>
      <w:r>
        <w:rPr>
          <w:rFonts w:hint="eastAsia" w:ascii="宋体" w:hAnsi="宋体" w:eastAsia="宋体"/>
          <w:b/>
        </w:rPr>
        <w:t>投标人资格要求</w:t>
      </w:r>
      <w:bookmarkEnd w:id="7"/>
      <w:bookmarkEnd w:id="8"/>
    </w:p>
    <w:p>
      <w:pPr>
        <w:numPr>
          <w:ilvl w:val="2"/>
          <w:numId w:val="1"/>
        </w:numPr>
        <w:spacing w:line="360" w:lineRule="auto"/>
        <w:rPr>
          <w:rFonts w:ascii="宋体" w:hAnsi="宋体"/>
          <w:szCs w:val="21"/>
        </w:rPr>
      </w:pPr>
      <w:r>
        <w:rPr>
          <w:rFonts w:hint="eastAsia" w:ascii="宋体" w:hAnsi="宋体"/>
          <w:szCs w:val="21"/>
        </w:rPr>
        <w:t>本次招标要求投标人须</w:t>
      </w:r>
      <w:r>
        <w:rPr>
          <w:rFonts w:hint="eastAsia" w:ascii="宋体" w:hAnsi="宋体"/>
        </w:rPr>
        <w:t>具备开据增值税专用发票的一般纳税人资格。</w:t>
      </w:r>
    </w:p>
    <w:p>
      <w:pPr>
        <w:numPr>
          <w:ilvl w:val="2"/>
          <w:numId w:val="1"/>
        </w:numPr>
        <w:autoSpaceDE w:val="0"/>
        <w:autoSpaceDN w:val="0"/>
        <w:adjustRightInd w:val="0"/>
        <w:spacing w:line="480" w:lineRule="exact"/>
        <w:rPr>
          <w:rFonts w:ascii="宋体" w:hAnsi="宋体"/>
          <w:kern w:val="0"/>
          <w:szCs w:val="21"/>
        </w:rPr>
      </w:pPr>
      <w:r>
        <w:rPr>
          <w:rFonts w:ascii="宋体" w:hAnsi="宋体"/>
          <w:kern w:val="0"/>
          <w:szCs w:val="21"/>
        </w:rPr>
        <w:t>投标人应是在中华人民共和国境内注册、具有独立法人资格的企业，注册资金为</w:t>
      </w:r>
      <w:r>
        <w:rPr>
          <w:rFonts w:hint="eastAsia" w:ascii="宋体" w:hAnsi="宋体"/>
          <w:kern w:val="0"/>
          <w:szCs w:val="21"/>
        </w:rPr>
        <w:t>500</w:t>
      </w:r>
      <w:r>
        <w:rPr>
          <w:rFonts w:ascii="宋体" w:hAnsi="宋体"/>
          <w:kern w:val="0"/>
          <w:szCs w:val="21"/>
        </w:rPr>
        <w:t>万元人民币或以上。经过工商部门年检合格的企业</w:t>
      </w:r>
      <w:r>
        <w:rPr>
          <w:rFonts w:hint="eastAsia" w:ascii="宋体" w:hAnsi="宋体"/>
          <w:kern w:val="0"/>
          <w:szCs w:val="21"/>
          <w:lang w:eastAsia="zh-CN"/>
        </w:rPr>
        <w:t>，</w:t>
      </w:r>
      <w:r>
        <w:rPr>
          <w:rFonts w:ascii="宋体" w:hAnsi="宋体"/>
          <w:kern w:val="0"/>
          <w:szCs w:val="21"/>
        </w:rPr>
        <w:t>投标人如属同一个集团或系统的公司，只能以总公司名义投标。（投标人注册资金如为外币，以开标当日中国人民银行公告汇率中间价为基准换算成人民币）</w:t>
      </w:r>
    </w:p>
    <w:p>
      <w:pPr>
        <w:numPr>
          <w:ilvl w:val="2"/>
          <w:numId w:val="1"/>
        </w:numPr>
        <w:spacing w:line="360" w:lineRule="auto"/>
        <w:rPr>
          <w:rFonts w:ascii="宋体" w:hAnsi="宋体"/>
        </w:rPr>
      </w:pPr>
      <w:r>
        <w:rPr>
          <w:rFonts w:hint="eastAsia" w:ascii="宋体" w:hAnsi="宋体"/>
        </w:rPr>
        <w:t>投标人不得存在下列情形之一：</w:t>
      </w:r>
    </w:p>
    <w:p>
      <w:pPr>
        <w:spacing w:line="360" w:lineRule="auto"/>
        <w:ind w:firstLine="424" w:firstLineChars="202"/>
        <w:rPr>
          <w:rFonts w:ascii="宋体" w:hAnsi="宋体"/>
        </w:rPr>
      </w:pPr>
      <w:r>
        <w:rPr>
          <w:rFonts w:hint="eastAsia" w:ascii="宋体" w:hAnsi="宋体"/>
        </w:rPr>
        <w:t xml:space="preserve">（1）为招标人不具有独立法人资格的附属机构（单位）； </w:t>
      </w:r>
    </w:p>
    <w:p>
      <w:pPr>
        <w:spacing w:line="360" w:lineRule="auto"/>
        <w:ind w:firstLine="424" w:firstLineChars="202"/>
        <w:rPr>
          <w:rFonts w:ascii="宋体" w:hAnsi="宋体"/>
        </w:rPr>
      </w:pPr>
      <w:r>
        <w:rPr>
          <w:rFonts w:hint="eastAsia" w:ascii="宋体" w:hAnsi="宋体"/>
        </w:rPr>
        <w:t xml:space="preserve">（3）被责令停业的； </w:t>
      </w:r>
    </w:p>
    <w:p>
      <w:pPr>
        <w:spacing w:line="360" w:lineRule="auto"/>
        <w:ind w:firstLine="424" w:firstLineChars="202"/>
        <w:rPr>
          <w:rFonts w:ascii="宋体" w:hAnsi="宋体"/>
        </w:rPr>
      </w:pPr>
      <w:r>
        <w:rPr>
          <w:rFonts w:hint="eastAsia" w:ascii="宋体" w:hAnsi="宋体"/>
        </w:rPr>
        <w:t xml:space="preserve">（4）被暂停或取消投标资格的； </w:t>
      </w:r>
    </w:p>
    <w:p>
      <w:pPr>
        <w:spacing w:line="360" w:lineRule="auto"/>
        <w:ind w:firstLine="424" w:firstLineChars="202"/>
        <w:rPr>
          <w:rFonts w:ascii="宋体" w:hAnsi="宋体"/>
        </w:rPr>
      </w:pPr>
      <w:r>
        <w:rPr>
          <w:rFonts w:hint="eastAsia" w:ascii="宋体" w:hAnsi="宋体"/>
        </w:rPr>
        <w:t>（5）财产被接管、冻结，或企业处于停产、停业、歇业或破产状态的；</w:t>
      </w:r>
    </w:p>
    <w:p>
      <w:pPr>
        <w:spacing w:line="360" w:lineRule="auto"/>
        <w:ind w:firstLine="424" w:firstLineChars="202"/>
        <w:rPr>
          <w:rFonts w:ascii="宋体" w:hAnsi="宋体"/>
        </w:rPr>
      </w:pPr>
      <w:r>
        <w:rPr>
          <w:rFonts w:hint="eastAsia" w:ascii="宋体" w:hAnsi="宋体"/>
        </w:rPr>
        <w:t>（6）两个及以上投标人在同一项目存在：法定代表人为同一人，或母公司、全资子公司及控股公司关系，或代理同一制造商的同一品牌、同一型号招标物资；</w:t>
      </w:r>
    </w:p>
    <w:p>
      <w:pPr>
        <w:pStyle w:val="14"/>
        <w:numPr>
          <w:ilvl w:val="1"/>
          <w:numId w:val="1"/>
        </w:numPr>
        <w:spacing w:after="156" w:afterLines="50"/>
        <w:rPr>
          <w:rFonts w:ascii="宋体" w:hAnsi="宋体" w:eastAsia="宋体"/>
          <w:b/>
        </w:rPr>
      </w:pPr>
      <w:r>
        <w:rPr>
          <w:rFonts w:hint="eastAsia" w:ascii="宋体" w:hAnsi="宋体" w:eastAsia="宋体"/>
          <w:b/>
        </w:rPr>
        <w:t>招标文件的修改</w:t>
      </w:r>
    </w:p>
    <w:p>
      <w:pPr>
        <w:spacing w:line="480" w:lineRule="exact"/>
        <w:ind w:firstLine="392" w:firstLineChars="187"/>
        <w:rPr>
          <w:rFonts w:ascii="宋体" w:hAnsi="宋体"/>
          <w:szCs w:val="21"/>
        </w:rPr>
      </w:pPr>
      <w:r>
        <w:rPr>
          <w:rFonts w:hint="eastAsia" w:ascii="宋体" w:hAnsi="宋体"/>
          <w:szCs w:val="21"/>
        </w:rPr>
        <w:t>1.5.1在投标截止日期前的任何时候，不论出于何种原因，招标人可主动地或在答复投标人的澄清要求时对招标文件进行修改。</w:t>
      </w:r>
    </w:p>
    <w:p>
      <w:pPr>
        <w:spacing w:line="480" w:lineRule="exact"/>
        <w:ind w:firstLine="392" w:firstLineChars="187"/>
        <w:rPr>
          <w:rFonts w:ascii="宋体" w:hAnsi="宋体"/>
          <w:szCs w:val="21"/>
        </w:rPr>
      </w:pPr>
      <w:r>
        <w:rPr>
          <w:rFonts w:hint="eastAsia" w:ascii="宋体" w:hAnsi="宋体"/>
          <w:szCs w:val="21"/>
        </w:rPr>
        <w:t>1.5.2招标文件的修改将书面通知所有购买招标文件的投标人，并对他们具有约束力。投标人应尽快以电报或传真形式回复招标人确认收到修改文件。</w:t>
      </w:r>
    </w:p>
    <w:p>
      <w:pPr>
        <w:spacing w:line="480" w:lineRule="exact"/>
        <w:ind w:firstLine="392" w:firstLineChars="187"/>
        <w:rPr>
          <w:rFonts w:ascii="宋体" w:hAnsi="宋体"/>
          <w:szCs w:val="21"/>
        </w:rPr>
      </w:pPr>
      <w:r>
        <w:rPr>
          <w:rFonts w:hint="eastAsia" w:ascii="宋体" w:hAnsi="宋体"/>
          <w:szCs w:val="21"/>
        </w:rPr>
        <w:t>1.5.3为使投标人在编制投标文件时有合理的时间考虑招标文件的修改部分，招标人可酌情延长投标截止日期。</w:t>
      </w:r>
    </w:p>
    <w:p>
      <w:pPr>
        <w:pStyle w:val="14"/>
        <w:numPr>
          <w:ilvl w:val="1"/>
          <w:numId w:val="1"/>
        </w:numPr>
        <w:spacing w:after="156" w:afterLines="50"/>
        <w:rPr>
          <w:rFonts w:ascii="宋体" w:hAnsi="宋体" w:eastAsia="宋体"/>
          <w:b/>
        </w:rPr>
      </w:pPr>
      <w:r>
        <w:rPr>
          <w:rFonts w:hint="eastAsia" w:ascii="宋体" w:hAnsi="宋体" w:eastAsia="宋体"/>
          <w:b/>
        </w:rPr>
        <w:t>投标截止时间和投标有效期</w:t>
      </w:r>
    </w:p>
    <w:p>
      <w:pPr>
        <w:numPr>
          <w:ilvl w:val="2"/>
          <w:numId w:val="1"/>
        </w:numPr>
        <w:spacing w:line="48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投标截止日期：</w:t>
      </w:r>
      <w:r>
        <w:rPr>
          <w:rFonts w:hint="eastAsia" w:asciiTheme="minorEastAsia" w:hAnsiTheme="minorEastAsia" w:eastAsiaTheme="minorEastAsia" w:cstheme="minorEastAsia"/>
          <w:sz w:val="21"/>
          <w:szCs w:val="21"/>
          <w:highlight w:val="none"/>
        </w:rPr>
        <w:t>2019年</w:t>
      </w:r>
      <w:r>
        <w:rPr>
          <w:rFonts w:hint="eastAsia" w:asciiTheme="minorEastAsia" w:hAnsiTheme="minorEastAsia" w:cstheme="minorEastAsia"/>
          <w:sz w:val="21"/>
          <w:szCs w:val="21"/>
          <w:highlight w:val="none"/>
          <w:lang w:eastAsia="zh-CN"/>
        </w:rPr>
        <w:t>11月</w:t>
      </w:r>
      <w:r>
        <w:rPr>
          <w:rFonts w:hint="eastAsia" w:asciiTheme="minorEastAsia" w:hAnsiTheme="minorEastAsia" w:cstheme="minorEastAsia"/>
          <w:sz w:val="21"/>
          <w:szCs w:val="21"/>
          <w:highlight w:val="none"/>
          <w:lang w:val="en-US" w:eastAsia="zh-CN"/>
        </w:rPr>
        <w:t>4</w:t>
      </w:r>
      <w:r>
        <w:rPr>
          <w:rFonts w:hint="eastAsia" w:asciiTheme="minorEastAsia" w:hAnsiTheme="minorEastAsia" w:cstheme="minorEastAsia"/>
          <w:sz w:val="21"/>
          <w:szCs w:val="21"/>
          <w:highlight w:val="none"/>
          <w:lang w:eastAsia="zh-CN"/>
        </w:rPr>
        <w:t>日</w:t>
      </w:r>
      <w:r>
        <w:rPr>
          <w:rFonts w:hint="eastAsia" w:asciiTheme="minorEastAsia" w:hAnsiTheme="minorEastAsia" w:eastAsiaTheme="minorEastAsia" w:cstheme="minorEastAsia"/>
          <w:sz w:val="21"/>
          <w:szCs w:val="21"/>
          <w:highlight w:val="none"/>
          <w:lang w:val="en-US" w:eastAsia="zh-CN"/>
        </w:rPr>
        <w:t>上午</w:t>
      </w:r>
      <w:r>
        <w:rPr>
          <w:rFonts w:hint="eastAsia" w:asciiTheme="minorEastAsia" w:hAnsiTheme="minorEastAsia" w:cstheme="minorEastAsia"/>
          <w:sz w:val="21"/>
          <w:szCs w:val="21"/>
          <w:highlight w:val="none"/>
          <w:lang w:val="en-US" w:eastAsia="zh-CN"/>
        </w:rPr>
        <w:t>8:30</w:t>
      </w:r>
      <w:r>
        <w:rPr>
          <w:rFonts w:hint="eastAsia" w:asciiTheme="minorEastAsia" w:hAnsiTheme="minorEastAsia" w:eastAsiaTheme="minorEastAsia" w:cstheme="minorEastAsia"/>
          <w:sz w:val="21"/>
          <w:szCs w:val="21"/>
        </w:rPr>
        <w:t>。</w:t>
      </w:r>
    </w:p>
    <w:p>
      <w:pPr>
        <w:numPr>
          <w:ilvl w:val="2"/>
          <w:numId w:val="1"/>
        </w:numPr>
        <w:spacing w:line="48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投标有效期为开标日之后30天内。</w:t>
      </w:r>
    </w:p>
    <w:p>
      <w:pPr>
        <w:numPr>
          <w:ilvl w:val="2"/>
          <w:numId w:val="1"/>
        </w:numPr>
        <w:spacing w:line="48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招标人保留延长投标有效期的权利。特殊情况下，在原投标有效期满之前，招标人可向投标人提出延长投标有效期的要求。这种要求的答复均应为书面、电报、传真的形式。同意延期的投标人既不能也不允许修改其投标文件。</w:t>
      </w:r>
    </w:p>
    <w:p>
      <w:pPr>
        <w:pStyle w:val="14"/>
        <w:numPr>
          <w:ilvl w:val="1"/>
          <w:numId w:val="1"/>
        </w:numPr>
        <w:spacing w:after="156" w:afterLines="50"/>
        <w:rPr>
          <w:rFonts w:ascii="宋体" w:hAnsi="宋体" w:eastAsia="宋体"/>
          <w:b/>
        </w:rPr>
      </w:pPr>
      <w:r>
        <w:rPr>
          <w:rFonts w:hint="eastAsia" w:ascii="宋体" w:hAnsi="宋体" w:eastAsia="宋体"/>
          <w:b/>
        </w:rPr>
        <w:t>获取招标文件的办法和时间</w:t>
      </w:r>
    </w:p>
    <w:p>
      <w:pPr>
        <w:numPr>
          <w:ilvl w:val="0"/>
          <w:numId w:val="0"/>
        </w:numPr>
        <w:spacing w:line="480" w:lineRule="exact"/>
        <w:ind w:leftChars="0"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在招标公告之日起，投标人即可联系招标人获取招标文件。</w:t>
      </w:r>
    </w:p>
    <w:p>
      <w:pPr>
        <w:pStyle w:val="14"/>
        <w:numPr>
          <w:ilvl w:val="1"/>
          <w:numId w:val="1"/>
        </w:numPr>
        <w:rPr>
          <w:rFonts w:ascii="宋体" w:hAnsi="宋体" w:eastAsia="宋体"/>
          <w:b/>
          <w:szCs w:val="28"/>
        </w:rPr>
      </w:pPr>
      <w:r>
        <w:rPr>
          <w:rFonts w:hint="eastAsia" w:ascii="宋体" w:hAnsi="宋体" w:eastAsia="宋体"/>
          <w:b/>
          <w:szCs w:val="28"/>
        </w:rPr>
        <w:t>投标文件的编写</w:t>
      </w:r>
    </w:p>
    <w:p>
      <w:pPr>
        <w:pStyle w:val="20"/>
        <w:numPr>
          <w:ilvl w:val="2"/>
          <w:numId w:val="1"/>
        </w:numPr>
        <w:ind w:firstLineChars="0"/>
      </w:pPr>
      <w:r>
        <w:rPr>
          <w:rFonts w:hint="eastAsia"/>
        </w:rPr>
        <w:t>要求：</w:t>
      </w:r>
    </w:p>
    <w:p>
      <w:pPr>
        <w:pStyle w:val="20"/>
        <w:ind w:firstLine="420"/>
      </w:pPr>
      <w:r>
        <w:rPr>
          <w:rFonts w:hint="eastAsia"/>
        </w:rPr>
        <w:t>（1）投标人应仔细阅读招标文件的所有内容，按招标文件的要求提供投标文件，并保证所提供的全部资料真实有效;</w:t>
      </w:r>
    </w:p>
    <w:p>
      <w:pPr>
        <w:pStyle w:val="20"/>
        <w:ind w:firstLine="420"/>
        <w:rPr>
          <w:rFonts w:hint="eastAsia"/>
        </w:rPr>
      </w:pPr>
      <w:r>
        <w:rPr>
          <w:rFonts w:hint="eastAsia"/>
        </w:rPr>
        <w:t>（2）投标文件应无修改和行间插字。如有修改，须在修改处加盖投标单位法定代表人或其委托代理人的印鉴。</w:t>
      </w:r>
    </w:p>
    <w:p>
      <w:pPr>
        <w:pStyle w:val="20"/>
        <w:numPr>
          <w:ilvl w:val="2"/>
          <w:numId w:val="1"/>
        </w:numPr>
        <w:ind w:firstLineChars="0"/>
      </w:pPr>
      <w:r>
        <w:rPr>
          <w:rFonts w:hint="eastAsia"/>
        </w:rPr>
        <w:t>投标文件由以下部分构成:</w:t>
      </w:r>
    </w:p>
    <w:p>
      <w:pPr>
        <w:pStyle w:val="20"/>
        <w:numPr>
          <w:ilvl w:val="0"/>
          <w:numId w:val="2"/>
        </w:numPr>
        <w:ind w:left="420" w:leftChars="200" w:firstLine="0" w:firstLineChars="0"/>
      </w:pPr>
      <w:r>
        <w:rPr>
          <w:rFonts w:hint="eastAsia"/>
        </w:rPr>
        <w:t>技术要求响应</w:t>
      </w:r>
    </w:p>
    <w:p>
      <w:pPr>
        <w:pStyle w:val="20"/>
        <w:ind w:left="420" w:leftChars="200" w:firstLine="0" w:firstLineChars="0"/>
      </w:pPr>
      <w:r>
        <w:rPr>
          <w:rFonts w:hint="eastAsia"/>
        </w:rPr>
        <w:t>请根据招标内容及技术要求进行响应。</w:t>
      </w:r>
    </w:p>
    <w:p>
      <w:pPr>
        <w:pStyle w:val="20"/>
        <w:numPr>
          <w:ilvl w:val="0"/>
          <w:numId w:val="2"/>
        </w:numPr>
        <w:ind w:left="420" w:leftChars="200" w:firstLine="0" w:firstLineChars="0"/>
      </w:pPr>
      <w:r>
        <w:rPr>
          <w:rFonts w:hint="eastAsia"/>
        </w:rPr>
        <w:t>投标承诺书</w:t>
      </w:r>
    </w:p>
    <w:p>
      <w:pPr>
        <w:pStyle w:val="20"/>
        <w:numPr>
          <w:ilvl w:val="0"/>
          <w:numId w:val="2"/>
        </w:numPr>
        <w:ind w:left="420" w:leftChars="200" w:firstLine="0" w:firstLineChars="0"/>
      </w:pPr>
      <w:r>
        <w:rPr>
          <w:rFonts w:hint="eastAsia"/>
        </w:rPr>
        <w:t>法定代表人身份证明书</w:t>
      </w:r>
    </w:p>
    <w:p>
      <w:pPr>
        <w:pStyle w:val="20"/>
        <w:numPr>
          <w:ilvl w:val="0"/>
          <w:numId w:val="2"/>
        </w:numPr>
        <w:ind w:left="420" w:leftChars="200" w:firstLine="0" w:firstLineChars="0"/>
      </w:pPr>
      <w:r>
        <w:rPr>
          <w:rFonts w:hint="eastAsia"/>
        </w:rPr>
        <w:t>法定代表人授权委托书</w:t>
      </w:r>
    </w:p>
    <w:p>
      <w:pPr>
        <w:pStyle w:val="20"/>
        <w:numPr>
          <w:ilvl w:val="0"/>
          <w:numId w:val="2"/>
        </w:numPr>
        <w:ind w:left="420" w:leftChars="200" w:firstLine="0" w:firstLineChars="0"/>
      </w:pPr>
      <w:r>
        <w:rPr>
          <w:rFonts w:hint="eastAsia"/>
        </w:rPr>
        <w:t>投标函</w:t>
      </w:r>
    </w:p>
    <w:p>
      <w:pPr>
        <w:pStyle w:val="20"/>
        <w:numPr>
          <w:ilvl w:val="0"/>
          <w:numId w:val="2"/>
        </w:numPr>
        <w:ind w:left="420" w:leftChars="200" w:firstLine="0" w:firstLineChars="0"/>
      </w:pPr>
      <w:r>
        <w:rPr>
          <w:rFonts w:hint="eastAsia"/>
        </w:rPr>
        <w:t>投标报价表</w:t>
      </w:r>
    </w:p>
    <w:p>
      <w:pPr>
        <w:pStyle w:val="20"/>
        <w:numPr>
          <w:ilvl w:val="0"/>
          <w:numId w:val="2"/>
        </w:numPr>
        <w:ind w:left="420" w:leftChars="200" w:firstLine="0" w:firstLineChars="0"/>
      </w:pPr>
      <w:r>
        <w:rPr>
          <w:rFonts w:hint="eastAsia"/>
        </w:rPr>
        <w:t>投标资格证明文件（营业执照副本、企业资质认证等）</w:t>
      </w:r>
    </w:p>
    <w:p>
      <w:pPr>
        <w:pStyle w:val="20"/>
        <w:numPr>
          <w:ilvl w:val="0"/>
          <w:numId w:val="2"/>
        </w:numPr>
        <w:ind w:left="420" w:leftChars="200" w:firstLine="0" w:firstLineChars="0"/>
      </w:pPr>
      <w:r>
        <w:rPr>
          <w:rFonts w:hint="eastAsia"/>
        </w:rPr>
        <w:t>投标人简介（含企业概况、组织机构、技术人员、技术能力等）</w:t>
      </w:r>
    </w:p>
    <w:p>
      <w:pPr>
        <w:pStyle w:val="20"/>
        <w:numPr>
          <w:ilvl w:val="0"/>
          <w:numId w:val="2"/>
        </w:numPr>
        <w:ind w:left="420" w:leftChars="200" w:firstLine="0" w:firstLineChars="0"/>
      </w:pPr>
      <w:r>
        <w:rPr>
          <w:rFonts w:hint="eastAsia"/>
        </w:rPr>
        <w:t>近三年的业绩证明。</w:t>
      </w:r>
    </w:p>
    <w:p>
      <w:pPr>
        <w:pStyle w:val="20"/>
        <w:ind w:firstLine="0" w:firstLineChars="0"/>
      </w:pPr>
      <w:r>
        <w:rPr>
          <w:rFonts w:hint="eastAsia"/>
        </w:rPr>
        <w:t>注：以上资料需加盖公章</w:t>
      </w:r>
      <w:r>
        <w:rPr>
          <w:rFonts w:hint="eastAsia"/>
          <w:lang w:eastAsia="zh-CN"/>
        </w:rPr>
        <w:t>，</w:t>
      </w:r>
      <w:r>
        <w:rPr>
          <w:rFonts w:hint="eastAsia"/>
          <w:lang w:val="en-US" w:eastAsia="zh-CN"/>
        </w:rPr>
        <w:t>技术响应文件须电子文件一份</w:t>
      </w:r>
      <w:r>
        <w:rPr>
          <w:rFonts w:hint="eastAsia"/>
        </w:rPr>
        <w:t>。</w:t>
      </w:r>
    </w:p>
    <w:p>
      <w:pPr>
        <w:pStyle w:val="20"/>
        <w:ind w:firstLine="0" w:firstLineChars="0"/>
      </w:pPr>
      <w:r>
        <w:rPr>
          <w:rFonts w:hint="eastAsia" w:asciiTheme="minorEastAsia" w:hAnsiTheme="minorEastAsia" w:eastAsiaTheme="minorEastAsia" w:cstheme="minorBidi"/>
          <w:color w:val="000000"/>
          <w:kern w:val="2"/>
          <w:sz w:val="21"/>
          <w:szCs w:val="21"/>
          <w:lang w:val="en-US" w:eastAsia="zh-CN" w:bidi="ar-SA"/>
        </w:rPr>
        <w:t xml:space="preserve">1.8.3 </w:t>
      </w:r>
      <w:r>
        <w:rPr>
          <w:rFonts w:hint="eastAsia"/>
        </w:rPr>
        <w:t>投标报价说明：</w:t>
      </w:r>
    </w:p>
    <w:p>
      <w:pPr>
        <w:pStyle w:val="20"/>
        <w:ind w:left="0" w:leftChars="0" w:firstLine="420" w:firstLineChars="200"/>
      </w:pPr>
      <w:r>
        <w:rPr>
          <w:rFonts w:hint="eastAsia"/>
        </w:rPr>
        <w:t>（1）除招标文件中另有规定外，计量单位为我国法定计量单位;</w:t>
      </w:r>
    </w:p>
    <w:p>
      <w:pPr>
        <w:pStyle w:val="20"/>
        <w:ind w:left="0" w:leftChars="0" w:firstLine="420" w:firstLineChars="200"/>
      </w:pPr>
      <w:r>
        <w:rPr>
          <w:rFonts w:hint="eastAsia"/>
        </w:rPr>
        <w:t>（2）投标报价、货款一律使用人民币结算;</w:t>
      </w:r>
    </w:p>
    <w:p>
      <w:pPr>
        <w:pStyle w:val="20"/>
        <w:ind w:left="0" w:leftChars="0" w:firstLine="420" w:firstLineChars="200"/>
        <w:rPr>
          <w:rFonts w:hint="eastAsia"/>
        </w:rPr>
      </w:pPr>
      <w:r>
        <w:rPr>
          <w:rFonts w:hint="eastAsia"/>
        </w:rPr>
        <w:t>（3）投标报价为含税价(包括运费和安装调试费)，是指标的物到达用户指定地点并安装调试完毕后开发票的价格。</w:t>
      </w:r>
    </w:p>
    <w:p>
      <w:pPr>
        <w:spacing w:line="360" w:lineRule="auto"/>
        <w:jc w:val="left"/>
        <w:rPr>
          <w:rFonts w:asciiTheme="minorEastAsia" w:hAnsiTheme="minorEastAsia" w:eastAsiaTheme="minorEastAsia"/>
          <w:color w:val="000000"/>
          <w:sz w:val="21"/>
          <w:szCs w:val="21"/>
        </w:rPr>
      </w:pPr>
      <w:r>
        <w:rPr>
          <w:rFonts w:hint="eastAsia" w:asciiTheme="minorEastAsia" w:hAnsiTheme="minorEastAsia"/>
          <w:color w:val="000000"/>
          <w:sz w:val="21"/>
          <w:szCs w:val="21"/>
          <w:lang w:val="en-US" w:eastAsia="zh-CN"/>
        </w:rPr>
        <w:t>1.8.4</w:t>
      </w:r>
      <w:r>
        <w:rPr>
          <w:rFonts w:hint="eastAsia" w:asciiTheme="minorEastAsia" w:hAnsiTheme="minorEastAsia" w:eastAsiaTheme="minorEastAsia"/>
          <w:color w:val="000000"/>
          <w:sz w:val="21"/>
          <w:szCs w:val="21"/>
        </w:rPr>
        <w:t>投标文件的份数、签署、密封、标志</w:t>
      </w:r>
    </w:p>
    <w:p>
      <w:pPr>
        <w:numPr>
          <w:ilvl w:val="0"/>
          <w:numId w:val="0"/>
        </w:numPr>
        <w:spacing w:line="360" w:lineRule="auto"/>
        <w:ind w:left="0" w:leftChars="0" w:firstLine="420" w:firstLineChars="200"/>
        <w:jc w:val="left"/>
        <w:rPr>
          <w:rFonts w:hint="eastAsia"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 xml:space="preserve">（1) </w:t>
      </w:r>
      <w:r>
        <w:rPr>
          <w:rFonts w:hint="eastAsia" w:asciiTheme="minorEastAsia" w:hAnsiTheme="minorEastAsia" w:eastAsiaTheme="minorEastAsia"/>
          <w:color w:val="000000"/>
          <w:sz w:val="21"/>
          <w:szCs w:val="21"/>
          <w:shd w:val="clear" w:color="auto" w:fill="auto"/>
        </w:rPr>
        <w:t>投标文件一正</w:t>
      </w:r>
      <w:r>
        <w:rPr>
          <w:rFonts w:hint="eastAsia" w:asciiTheme="minorEastAsia" w:hAnsiTheme="minorEastAsia" w:eastAsiaTheme="minorEastAsia"/>
          <w:color w:val="000000"/>
          <w:sz w:val="21"/>
          <w:szCs w:val="21"/>
          <w:shd w:val="clear" w:color="auto" w:fill="auto"/>
          <w:lang w:eastAsia="zh-CN"/>
        </w:rPr>
        <w:t>两</w:t>
      </w:r>
      <w:r>
        <w:rPr>
          <w:rFonts w:hint="eastAsia" w:asciiTheme="minorEastAsia" w:hAnsiTheme="minorEastAsia" w:eastAsiaTheme="minorEastAsia"/>
          <w:color w:val="000000"/>
          <w:sz w:val="21"/>
          <w:szCs w:val="21"/>
          <w:shd w:val="clear" w:color="auto" w:fill="auto"/>
        </w:rPr>
        <w:t>副；</w:t>
      </w:r>
    </w:p>
    <w:p>
      <w:pPr>
        <w:spacing w:line="360" w:lineRule="auto"/>
        <w:ind w:left="0" w:leftChars="0" w:firstLine="420" w:firstLineChars="200"/>
        <w:jc w:val="left"/>
        <w:rPr>
          <w:rFonts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eastAsia="zh-CN"/>
        </w:rPr>
        <w:t>（</w:t>
      </w:r>
      <w:r>
        <w:rPr>
          <w:rFonts w:hint="eastAsia" w:asciiTheme="minorEastAsia" w:hAnsiTheme="minorEastAsia"/>
          <w:color w:val="000000"/>
          <w:sz w:val="21"/>
          <w:szCs w:val="21"/>
          <w:shd w:val="clear" w:color="auto" w:fill="auto"/>
          <w:lang w:val="en-US" w:eastAsia="zh-CN"/>
        </w:rPr>
        <w:t>2）</w:t>
      </w:r>
      <w:r>
        <w:rPr>
          <w:rFonts w:hint="eastAsia" w:asciiTheme="minorEastAsia" w:hAnsiTheme="minorEastAsia" w:eastAsiaTheme="minorEastAsia"/>
          <w:color w:val="000000"/>
          <w:sz w:val="21"/>
          <w:szCs w:val="21"/>
          <w:shd w:val="clear" w:color="auto" w:fill="auto"/>
        </w:rPr>
        <w:t>除商务报价外投标文件的每份正本、副本均应当分别密封，封袋上同时注明“正本”、“副本”字样及“不准提前启封”字样；密封处应加盖投标人公章。若正本与副本及电子版文件的内容有较大差异，以正本为准。</w:t>
      </w:r>
    </w:p>
    <w:p>
      <w:pPr>
        <w:spacing w:line="360" w:lineRule="auto"/>
        <w:ind w:left="0" w:leftChars="0" w:firstLine="420" w:firstLineChars="200"/>
        <w:jc w:val="left"/>
        <w:rPr>
          <w:rFonts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rPr>
        <w:t>3</w:t>
      </w: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rPr>
        <w:t xml:space="preserve">报价一正两副，单独密封包装。 </w:t>
      </w:r>
    </w:p>
    <w:p>
      <w:pPr>
        <w:spacing w:line="360" w:lineRule="auto"/>
        <w:ind w:left="0" w:leftChars="0" w:firstLine="420" w:firstLineChars="200"/>
        <w:jc w:val="left"/>
        <w:rPr>
          <w:rFonts w:hint="eastAsia"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lang w:val="en-US" w:eastAsia="zh-CN"/>
        </w:rPr>
        <w:t>4</w:t>
      </w: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rPr>
        <w:t>投标文件正本应由投标人法定代表或其授权代表页签，并需在要求的地方签字并加盖公章。</w:t>
      </w:r>
    </w:p>
    <w:p>
      <w:pPr>
        <w:spacing w:line="360" w:lineRule="auto"/>
        <w:ind w:left="0" w:leftChars="0" w:firstLine="420" w:firstLineChars="200"/>
        <w:jc w:val="left"/>
        <w:rPr>
          <w:rFonts w:hint="eastAsia"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lang w:val="en-US" w:eastAsia="zh-CN"/>
        </w:rPr>
        <w:t>5</w:t>
      </w:r>
      <w:r>
        <w:rPr>
          <w:rFonts w:hint="eastAsia" w:asciiTheme="minorEastAsia" w:hAnsiTheme="minorEastAsia"/>
          <w:color w:val="000000"/>
          <w:sz w:val="21"/>
          <w:szCs w:val="21"/>
          <w:shd w:val="clear" w:color="auto" w:fill="auto"/>
          <w:lang w:val="en-US" w:eastAsia="zh-CN"/>
        </w:rPr>
        <w:t>)</w:t>
      </w:r>
      <w:r>
        <w:rPr>
          <w:rFonts w:hint="eastAsia" w:asciiTheme="minorEastAsia" w:hAnsiTheme="minorEastAsia" w:eastAsiaTheme="minorEastAsia"/>
          <w:color w:val="000000"/>
          <w:sz w:val="21"/>
          <w:szCs w:val="21"/>
          <w:shd w:val="clear" w:color="auto" w:fill="auto"/>
        </w:rPr>
        <w:t>投标文件必须打印并应装订成册；</w:t>
      </w:r>
      <w:r>
        <w:rPr>
          <w:rFonts w:hint="eastAsia" w:asciiTheme="minorEastAsia" w:hAnsiTheme="minorEastAsia" w:eastAsiaTheme="minorEastAsia"/>
          <w:color w:val="000000"/>
          <w:sz w:val="21"/>
          <w:szCs w:val="21"/>
          <w:shd w:val="clear" w:color="auto" w:fill="auto"/>
          <w:lang w:val="en-US" w:eastAsia="zh-CN"/>
        </w:rPr>
        <w:t>，并同时提供一份完全一致的电子文件，用u盘封装入投标文件正本中。</w:t>
      </w:r>
    </w:p>
    <w:p>
      <w:pPr>
        <w:spacing w:line="360" w:lineRule="auto"/>
        <w:ind w:left="0" w:leftChars="0" w:firstLine="420" w:firstLineChars="200"/>
        <w:jc w:val="left"/>
        <w:rPr>
          <w:rFonts w:hint="eastAsia" w:asciiTheme="minorEastAsia" w:hAnsiTheme="minorEastAsia" w:eastAsiaTheme="minorEastAsia"/>
          <w:color w:val="000000"/>
          <w:sz w:val="21"/>
          <w:szCs w:val="21"/>
          <w:shd w:val="clear" w:color="auto" w:fill="auto"/>
        </w:rPr>
      </w:pPr>
      <w:r>
        <w:rPr>
          <w:rFonts w:hint="eastAsia" w:asciiTheme="minorEastAsia" w:hAnsiTheme="minorEastAsia"/>
          <w:color w:val="000000"/>
          <w:sz w:val="21"/>
          <w:szCs w:val="21"/>
          <w:shd w:val="clear" w:color="auto" w:fill="auto"/>
          <w:lang w:val="en-US" w:eastAsia="zh-CN"/>
        </w:rPr>
        <w:t>（6)</w:t>
      </w:r>
      <w:r>
        <w:rPr>
          <w:rFonts w:hint="eastAsia" w:asciiTheme="minorEastAsia" w:hAnsiTheme="minorEastAsia" w:eastAsiaTheme="minorEastAsia"/>
          <w:color w:val="000000"/>
          <w:sz w:val="21"/>
          <w:szCs w:val="21"/>
          <w:shd w:val="clear" w:color="auto" w:fill="auto"/>
        </w:rPr>
        <w:t>电报、电话、传真、电子邮件形式的投标概不接受。</w:t>
      </w:r>
    </w:p>
    <w:p>
      <w:pPr>
        <w:pStyle w:val="14"/>
        <w:numPr>
          <w:ilvl w:val="1"/>
          <w:numId w:val="1"/>
        </w:numPr>
        <w:spacing w:after="156" w:afterLines="50"/>
        <w:rPr>
          <w:rFonts w:hint="eastAsia" w:ascii="宋体" w:hAnsi="宋体" w:eastAsia="宋体"/>
          <w:b/>
        </w:rPr>
      </w:pPr>
      <w:r>
        <w:rPr>
          <w:rFonts w:hint="eastAsia" w:ascii="宋体" w:hAnsi="宋体" w:eastAsia="宋体"/>
          <w:b/>
        </w:rPr>
        <w:t>无效投标</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eastAsiaTheme="minorEastAsia"/>
          <w:color w:val="000000"/>
          <w:sz w:val="21"/>
          <w:szCs w:val="21"/>
          <w:highlight w:val="none"/>
        </w:rPr>
        <w:t>发生下列情况之一者，视为无效投标：</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1.9.1</w:t>
      </w:r>
      <w:r>
        <w:rPr>
          <w:rFonts w:hint="eastAsia" w:asciiTheme="minorEastAsia" w:hAnsiTheme="minorEastAsia" w:eastAsiaTheme="minorEastAsia"/>
          <w:color w:val="000000"/>
          <w:sz w:val="21"/>
          <w:szCs w:val="21"/>
          <w:highlight w:val="none"/>
        </w:rPr>
        <w:t>投标文件未按规定要求密封和/或投标文件未按规定加盖公章和签字。</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1.9.2</w:t>
      </w:r>
      <w:r>
        <w:rPr>
          <w:rFonts w:hint="eastAsia" w:asciiTheme="minorEastAsia" w:hAnsiTheme="minorEastAsia" w:eastAsiaTheme="minorEastAsia"/>
          <w:color w:val="000000"/>
          <w:sz w:val="21"/>
          <w:szCs w:val="21"/>
          <w:highlight w:val="none"/>
        </w:rPr>
        <w:t>投标文件未按规定填写和/或投标文件内容与招标文件有严重背离。</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1.9.3</w:t>
      </w:r>
      <w:r>
        <w:rPr>
          <w:rFonts w:hint="eastAsia" w:asciiTheme="minorEastAsia" w:hAnsiTheme="minorEastAsia" w:eastAsiaTheme="minorEastAsia"/>
          <w:color w:val="000000"/>
          <w:sz w:val="21"/>
          <w:szCs w:val="21"/>
          <w:highlight w:val="none"/>
        </w:rPr>
        <w:t>投标报价表中漏项较多。</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1.9.4</w:t>
      </w:r>
      <w:r>
        <w:rPr>
          <w:rFonts w:hint="eastAsia" w:asciiTheme="minorEastAsia" w:hAnsiTheme="minorEastAsia" w:eastAsiaTheme="minorEastAsia"/>
          <w:color w:val="000000"/>
          <w:sz w:val="21"/>
          <w:szCs w:val="21"/>
          <w:highlight w:val="none"/>
        </w:rPr>
        <w:t>投标文件内容不全或字迹模糊辨认不清。</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1.9.5</w:t>
      </w:r>
      <w:r>
        <w:rPr>
          <w:rFonts w:hint="eastAsia" w:asciiTheme="minorEastAsia" w:hAnsiTheme="minorEastAsia" w:eastAsiaTheme="minorEastAsia"/>
          <w:color w:val="000000"/>
          <w:sz w:val="21"/>
          <w:szCs w:val="21"/>
          <w:highlight w:val="none"/>
        </w:rPr>
        <w:t>投标人不具备投标资格的。</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1.9.6</w:t>
      </w:r>
      <w:r>
        <w:rPr>
          <w:rFonts w:hint="eastAsia" w:asciiTheme="minorEastAsia" w:hAnsiTheme="minorEastAsia" w:eastAsiaTheme="minorEastAsia"/>
          <w:color w:val="000000"/>
          <w:sz w:val="21"/>
          <w:szCs w:val="21"/>
          <w:highlight w:val="none"/>
        </w:rPr>
        <w:t>由于投标人原因，投标文件在招标人要求提交投标文件的截止时间后送达的。</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1.9.7</w:t>
      </w:r>
      <w:r>
        <w:rPr>
          <w:rFonts w:hint="eastAsia" w:asciiTheme="minorEastAsia" w:hAnsiTheme="minorEastAsia" w:eastAsiaTheme="minorEastAsia"/>
          <w:color w:val="000000"/>
          <w:sz w:val="21"/>
          <w:szCs w:val="21"/>
          <w:highlight w:val="none"/>
        </w:rPr>
        <w:t>投标人在投标活动中实施损害招标人或者其他投标人合法权益的行为。</w:t>
      </w:r>
    </w:p>
    <w:p>
      <w:pPr>
        <w:spacing w:line="360" w:lineRule="auto"/>
        <w:jc w:val="left"/>
        <w:rPr>
          <w:rFonts w:asciiTheme="minorEastAsia" w:hAnsiTheme="minorEastAsia" w:eastAsiaTheme="minorEastAsia"/>
          <w:color w:val="000000"/>
          <w:sz w:val="21"/>
          <w:szCs w:val="21"/>
          <w:highlight w:val="none"/>
        </w:rPr>
      </w:pPr>
      <w:r>
        <w:rPr>
          <w:rFonts w:hint="eastAsia" w:asciiTheme="minorEastAsia" w:hAnsiTheme="minorEastAsia"/>
          <w:color w:val="000000"/>
          <w:sz w:val="21"/>
          <w:szCs w:val="21"/>
          <w:highlight w:val="none"/>
          <w:lang w:val="en-US" w:eastAsia="zh-CN"/>
        </w:rPr>
        <w:t>1.9.8</w:t>
      </w:r>
      <w:r>
        <w:rPr>
          <w:rFonts w:hint="eastAsia" w:asciiTheme="minorEastAsia" w:hAnsiTheme="minorEastAsia" w:eastAsiaTheme="minorEastAsia"/>
          <w:color w:val="000000"/>
          <w:sz w:val="21"/>
          <w:szCs w:val="21"/>
          <w:highlight w:val="none"/>
        </w:rPr>
        <w:t>其他不符合招标文件要求的投标。</w:t>
      </w:r>
    </w:p>
    <w:p>
      <w:pPr>
        <w:pStyle w:val="20"/>
        <w:ind w:firstLine="960" w:firstLineChars="400"/>
        <w:rPr>
          <w:rFonts w:hint="eastAsia" w:asciiTheme="minorEastAsia" w:hAnsiTheme="minorEastAsia" w:eastAsiaTheme="minorEastAsia"/>
          <w:color w:val="000000"/>
          <w:sz w:val="24"/>
          <w:shd w:val="clear" w:color="auto" w:fill="auto"/>
        </w:rPr>
      </w:pPr>
    </w:p>
    <w:p>
      <w:pPr>
        <w:pStyle w:val="14"/>
        <w:numPr>
          <w:ilvl w:val="1"/>
          <w:numId w:val="1"/>
        </w:numPr>
        <w:spacing w:after="156" w:afterLines="50"/>
        <w:rPr>
          <w:rFonts w:hint="eastAsia" w:ascii="宋体" w:hAnsi="宋体" w:eastAsia="宋体"/>
          <w:b/>
          <w:lang w:val="en-US" w:eastAsia="zh-CN"/>
        </w:rPr>
      </w:pPr>
      <w:r>
        <w:rPr>
          <w:rFonts w:hint="eastAsia" w:ascii="宋体" w:hAnsi="宋体" w:eastAsia="宋体"/>
          <w:b/>
          <w:lang w:val="en-US" w:eastAsia="zh-CN"/>
        </w:rPr>
        <w:t>费用承担</w:t>
      </w:r>
    </w:p>
    <w:p>
      <w:pPr>
        <w:spacing w:line="360" w:lineRule="auto"/>
        <w:ind w:firstLine="420" w:firstLineChars="200"/>
        <w:rPr>
          <w:rFonts w:hint="eastAsia" w:ascii="宋体" w:hAnsi="宋体"/>
        </w:rPr>
      </w:pPr>
      <w:r>
        <w:rPr>
          <w:rFonts w:hint="eastAsia" w:ascii="宋体" w:hAnsi="宋体"/>
        </w:rPr>
        <w:t>投标人准备和参加投标活动发生的费用自理。</w:t>
      </w:r>
    </w:p>
    <w:p>
      <w:pPr>
        <w:pStyle w:val="14"/>
        <w:numPr>
          <w:ilvl w:val="1"/>
          <w:numId w:val="1"/>
        </w:numPr>
        <w:spacing w:after="156" w:afterLines="50"/>
        <w:rPr>
          <w:rFonts w:hint="eastAsia" w:ascii="宋体" w:hAnsi="宋体" w:eastAsia="宋体"/>
          <w:b/>
          <w:lang w:val="en-US" w:eastAsia="zh-CN"/>
        </w:rPr>
      </w:pPr>
      <w:r>
        <w:rPr>
          <w:rFonts w:hint="eastAsia" w:ascii="宋体" w:hAnsi="宋体" w:eastAsia="宋体"/>
          <w:b/>
          <w:lang w:val="en-US" w:eastAsia="zh-CN"/>
        </w:rPr>
        <w:t>保密</w:t>
      </w:r>
    </w:p>
    <w:p>
      <w:pPr>
        <w:spacing w:line="360" w:lineRule="auto"/>
        <w:ind w:firstLine="420" w:firstLineChars="200"/>
        <w:rPr>
          <w:rFonts w:ascii="宋体" w:hAnsi="宋体"/>
        </w:rPr>
      </w:pPr>
      <w:r>
        <w:rPr>
          <w:rFonts w:hint="eastAsia" w:ascii="宋体" w:hAnsi="宋体"/>
        </w:rPr>
        <w:t xml:space="preserve">参与招标投标活动的各方应对招标文件和投标文件中的商业和技术等秘密保密，违者应对由此造成的后果承担法律责任。 </w:t>
      </w:r>
      <w:r>
        <w:rPr>
          <w:rFonts w:ascii="宋体" w:hAnsi="宋体" w:eastAsia="宋体"/>
          <w:b/>
        </w:rPr>
        <w:t xml:space="preserve"> </w:t>
      </w:r>
    </w:p>
    <w:p>
      <w:pPr>
        <w:pStyle w:val="14"/>
        <w:numPr>
          <w:ilvl w:val="1"/>
          <w:numId w:val="1"/>
        </w:numPr>
        <w:spacing w:after="156" w:afterLines="50"/>
        <w:rPr>
          <w:rFonts w:hint="eastAsia" w:ascii="宋体" w:hAnsi="宋体" w:eastAsia="宋体"/>
          <w:b/>
          <w:lang w:val="en-US" w:eastAsia="zh-CN"/>
        </w:rPr>
      </w:pPr>
      <w:r>
        <w:rPr>
          <w:rFonts w:hint="eastAsia" w:ascii="宋体" w:hAnsi="宋体" w:eastAsia="宋体"/>
          <w:b/>
          <w:lang w:val="en-US" w:eastAsia="zh-CN"/>
        </w:rPr>
        <w:t>联系方式</w:t>
      </w:r>
    </w:p>
    <w:p>
      <w:pPr>
        <w:spacing w:line="360" w:lineRule="auto"/>
        <w:ind w:firstLine="420" w:firstLineChars="200"/>
        <w:rPr>
          <w:rFonts w:ascii="宋体" w:hAnsi="宋体"/>
          <w:szCs w:val="21"/>
        </w:rPr>
      </w:pPr>
      <w:r>
        <w:rPr>
          <w:rFonts w:hint="eastAsia" w:ascii="宋体" w:hAnsi="宋体"/>
          <w:szCs w:val="21"/>
        </w:rPr>
        <w:t>招标人：北人智能装备科技有限公司</w:t>
      </w:r>
    </w:p>
    <w:p>
      <w:pPr>
        <w:spacing w:line="360" w:lineRule="auto"/>
        <w:ind w:firstLine="420" w:firstLineChars="200"/>
        <w:rPr>
          <w:rFonts w:hint="eastAsia" w:ascii="宋体" w:hAnsi="宋体" w:eastAsiaTheme="minorEastAsia"/>
          <w:szCs w:val="21"/>
          <w:lang w:val="en-US" w:eastAsia="zh-CN"/>
        </w:rPr>
      </w:pPr>
      <w:r>
        <w:rPr>
          <w:rFonts w:hint="eastAsia" w:ascii="宋体" w:hAnsi="宋体"/>
          <w:szCs w:val="21"/>
        </w:rPr>
        <w:t>联系人：</w:t>
      </w:r>
      <w:r>
        <w:rPr>
          <w:rFonts w:hint="eastAsia" w:ascii="宋体" w:hAnsi="宋体"/>
          <w:szCs w:val="21"/>
          <w:lang w:val="en-US" w:eastAsia="zh-CN"/>
        </w:rPr>
        <w:t>程华歌</w:t>
      </w:r>
    </w:p>
    <w:p>
      <w:pPr>
        <w:spacing w:line="360" w:lineRule="auto"/>
        <w:ind w:firstLine="420" w:firstLineChars="200"/>
        <w:rPr>
          <w:rFonts w:ascii="宋体" w:hAnsi="宋体"/>
          <w:szCs w:val="21"/>
        </w:rPr>
      </w:pPr>
      <w:r>
        <w:rPr>
          <w:rFonts w:hint="eastAsia" w:ascii="宋体" w:hAnsi="宋体"/>
          <w:szCs w:val="21"/>
        </w:rPr>
        <w:t>地址：北京市大兴区科苑路25号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0"/>
      </w:pPr>
      <w:r>
        <w:rPr>
          <w:rFonts w:hint="eastAsia" w:ascii="宋体" w:hAnsi="宋体"/>
          <w:szCs w:val="21"/>
        </w:rPr>
        <w:t>电话：</w:t>
      </w:r>
      <w:r>
        <w:rPr>
          <w:rFonts w:hint="eastAsia"/>
        </w:rPr>
        <w:t>80206095</w:t>
      </w:r>
      <w:r>
        <w:t xml:space="preserve"> </w:t>
      </w:r>
      <w:r>
        <w:rPr>
          <w:rFonts w:hint="eastAsia"/>
          <w:lang w:val="en-US" w:eastAsia="zh-CN"/>
        </w:rPr>
        <w:t>/</w:t>
      </w:r>
      <w:r>
        <w:rPr>
          <w:rFonts w:hint="eastAsia"/>
        </w:rPr>
        <w:t>13520338185</w:t>
      </w:r>
    </w:p>
    <w:p>
      <w:pPr>
        <w:spacing w:line="360" w:lineRule="auto"/>
        <w:ind w:firstLine="420" w:firstLineChars="200"/>
        <w:rPr>
          <w:rFonts w:ascii="宋体" w:hAnsi="宋体"/>
          <w:szCs w:val="21"/>
        </w:rPr>
      </w:pPr>
    </w:p>
    <w:p>
      <w:pPr>
        <w:pStyle w:val="20"/>
        <w:ind w:firstLine="420"/>
      </w:pPr>
    </w:p>
    <w:p>
      <w:pPr>
        <w:pStyle w:val="2"/>
        <w:numPr>
          <w:ilvl w:val="0"/>
          <w:numId w:val="1"/>
        </w:numPr>
        <w:spacing w:before="120" w:after="120" w:line="400" w:lineRule="exact"/>
        <w:jc w:val="center"/>
        <w:rPr>
          <w:rFonts w:ascii="宋体" w:hAnsi="宋体" w:eastAsia="宋体"/>
        </w:rPr>
      </w:pPr>
      <w:r>
        <w:rPr>
          <w:rFonts w:hint="eastAsia" w:ascii="宋体" w:hAnsi="宋体"/>
          <w:sz w:val="32"/>
          <w:u w:val="single"/>
        </w:rPr>
        <w:t xml:space="preserve"> 技术要求</w:t>
      </w:r>
    </w:p>
    <w:p>
      <w:pPr>
        <w:pStyle w:val="14"/>
        <w:numPr>
          <w:ilvl w:val="1"/>
          <w:numId w:val="1"/>
        </w:numPr>
        <w:spacing w:after="156" w:afterLines="50"/>
        <w:rPr>
          <w:rFonts w:ascii="宋体" w:hAnsi="宋体" w:eastAsia="宋体"/>
          <w:b/>
        </w:rPr>
      </w:pPr>
      <w:r>
        <w:rPr>
          <w:rFonts w:hint="eastAsia" w:ascii="宋体" w:hAnsi="宋体" w:eastAsia="宋体"/>
          <w:b/>
        </w:rPr>
        <w:t>技术开发平台</w:t>
      </w:r>
    </w:p>
    <w:p>
      <w:pPr>
        <w:pStyle w:val="18"/>
        <w:spacing w:line="360" w:lineRule="auto"/>
        <w:ind w:firstLineChars="0"/>
        <w:rPr>
          <w:rFonts w:asciiTheme="minorEastAsia" w:hAnsiTheme="minorEastAsia" w:cstheme="minorEastAsia"/>
          <w:szCs w:val="21"/>
        </w:rPr>
      </w:pPr>
      <w:r>
        <w:rPr>
          <w:rFonts w:hint="eastAsia" w:asciiTheme="minorEastAsia" w:hAnsiTheme="minorEastAsia" w:cstheme="minorEastAsia"/>
          <w:szCs w:val="21"/>
        </w:rPr>
        <w:t>采用.NET的平台架构，保证系统具有开放的体系与接口，能支持跨平台运行，并遵循相关的技术规范，采用B/S结构，客户端为浏览器形式，数据均采用Microsoft SQLserver</w:t>
      </w:r>
    </w:p>
    <w:p>
      <w:pPr>
        <w:spacing w:line="360" w:lineRule="auto"/>
        <w:ind w:left="66" w:firstLine="419"/>
        <w:rPr>
          <w:rFonts w:asciiTheme="minorEastAsia" w:hAnsiTheme="minorEastAsia" w:cstheme="minorEastAsia"/>
          <w:szCs w:val="21"/>
        </w:rPr>
      </w:pPr>
      <w:r>
        <w:rPr>
          <w:rFonts w:hint="eastAsia" w:asciiTheme="minorEastAsia" w:hAnsiTheme="minorEastAsia" w:cstheme="minorEastAsia"/>
          <w:szCs w:val="21"/>
        </w:rPr>
        <w:t>采用当今主流技术，既要考虑应用平台和工具的先进，更要考虑系统结构和应用设计的先进性，高度灵活的MNG配置驱动系统，快速、低成本、智能一体化管理平台</w:t>
      </w:r>
    </w:p>
    <w:p>
      <w:pPr>
        <w:pStyle w:val="20"/>
        <w:spacing w:before="0" w:after="0"/>
        <w:ind w:firstLine="420"/>
        <w:rPr>
          <w:shd w:val="clear" w:color="auto" w:fill="FFFFFF"/>
        </w:rPr>
      </w:pPr>
      <w:r>
        <w:rPr>
          <w:rFonts w:hint="eastAsia"/>
          <w:shd w:val="clear" w:color="auto" w:fill="FFFFFF"/>
        </w:rPr>
        <w:t>可配置性是指在不修改软件源程序的情况下，通过修改软件的配置来满足客户的个性化需求。可配置性强的软件，有以下几方面优点：</w:t>
      </w:r>
    </w:p>
    <w:p>
      <w:pPr>
        <w:pStyle w:val="20"/>
        <w:numPr>
          <w:ilvl w:val="0"/>
          <w:numId w:val="3"/>
        </w:numPr>
        <w:spacing w:before="0" w:after="0"/>
        <w:ind w:firstLineChars="0"/>
        <w:rPr>
          <w:shd w:val="clear" w:color="auto" w:fill="FFFFFF"/>
        </w:rPr>
      </w:pPr>
      <w:r>
        <w:rPr>
          <w:rFonts w:hint="eastAsia"/>
          <w:shd w:val="clear" w:color="auto" w:fill="FFFFFF"/>
        </w:rPr>
        <w:t>能够更好地满足客户个性化需求，用户体验更好。</w:t>
      </w:r>
    </w:p>
    <w:p>
      <w:pPr>
        <w:pStyle w:val="20"/>
        <w:numPr>
          <w:ilvl w:val="0"/>
          <w:numId w:val="3"/>
        </w:numPr>
        <w:spacing w:before="0" w:after="0"/>
        <w:ind w:firstLineChars="0"/>
        <w:rPr>
          <w:shd w:val="clear" w:color="auto" w:fill="FFFFFF"/>
        </w:rPr>
      </w:pPr>
      <w:r>
        <w:rPr>
          <w:rFonts w:hint="eastAsia"/>
          <w:shd w:val="clear" w:color="auto" w:fill="FFFFFF"/>
        </w:rPr>
        <w:t>实施成本更低，周期更短。通过配置来解决客户的个性化需求，不需要费时、费力、费钱的二次开发过程。</w:t>
      </w:r>
    </w:p>
    <w:p>
      <w:pPr>
        <w:pStyle w:val="20"/>
        <w:numPr>
          <w:ilvl w:val="0"/>
          <w:numId w:val="3"/>
        </w:numPr>
        <w:spacing w:before="0" w:after="0"/>
        <w:ind w:firstLineChars="0"/>
        <w:rPr>
          <w:shd w:val="clear" w:color="auto" w:fill="FFFFFF"/>
        </w:rPr>
      </w:pPr>
      <w:r>
        <w:rPr>
          <w:rFonts w:hint="eastAsia"/>
          <w:shd w:val="clear" w:color="auto" w:fill="FFFFFF"/>
        </w:rPr>
        <w:t>软件升级更有保障。如果有大量的二次开发，将会对未来的软件升级造成巨大的困难，很多二次开发的内容可能需要重新开发，重新花钱。通过配置解决，软件升级时，只需把原有配置导入即可。</w:t>
      </w:r>
    </w:p>
    <w:p>
      <w:pPr>
        <w:spacing w:line="360" w:lineRule="auto"/>
        <w:rPr>
          <w:rFonts w:asciiTheme="minorEastAsia" w:hAnsiTheme="minorEastAsia" w:cstheme="minorEastAsia"/>
          <w:szCs w:val="21"/>
        </w:rPr>
      </w:pPr>
    </w:p>
    <w:p>
      <w:pPr>
        <w:spacing w:line="360" w:lineRule="auto"/>
        <w:ind w:left="66" w:firstLine="419"/>
        <w:rPr>
          <w:rFonts w:asciiTheme="minorEastAsia" w:hAnsiTheme="minorEastAsia" w:cstheme="minorEastAsia"/>
          <w:szCs w:val="21"/>
        </w:rPr>
      </w:pPr>
      <w:r>
        <w:rPr>
          <w:rFonts w:hint="eastAsia" w:asciiTheme="minorEastAsia" w:hAnsiTheme="minorEastAsia" w:cstheme="minorEastAsia"/>
          <w:szCs w:val="21"/>
        </w:rPr>
        <w:t>系统可用性：</w:t>
      </w:r>
    </w:p>
    <w:p>
      <w:pPr>
        <w:pStyle w:val="19"/>
        <w:numPr>
          <w:ilvl w:val="0"/>
          <w:numId w:val="4"/>
        </w:numPr>
        <w:spacing w:line="360" w:lineRule="auto"/>
        <w:ind w:firstLineChars="0"/>
        <w:rPr>
          <w:rFonts w:asciiTheme="minorEastAsia" w:hAnsiTheme="minorEastAsia"/>
          <w:szCs w:val="21"/>
        </w:rPr>
      </w:pPr>
      <w:r>
        <w:rPr>
          <w:rFonts w:hint="eastAsia" w:asciiTheme="minorEastAsia" w:hAnsiTheme="minorEastAsia"/>
          <w:szCs w:val="21"/>
        </w:rPr>
        <w:t xml:space="preserve">采用面向对象的设计思想，保证系统的可重用性与扩展性； </w:t>
      </w:r>
    </w:p>
    <w:p>
      <w:pPr>
        <w:pStyle w:val="19"/>
        <w:numPr>
          <w:ilvl w:val="0"/>
          <w:numId w:val="4"/>
        </w:numPr>
        <w:spacing w:line="360" w:lineRule="auto"/>
        <w:ind w:firstLineChars="0"/>
        <w:rPr>
          <w:rFonts w:cs="宋体" w:asciiTheme="minorEastAsia" w:hAnsiTheme="minorEastAsia"/>
          <w:szCs w:val="21"/>
        </w:rPr>
      </w:pPr>
      <w:r>
        <w:rPr>
          <w:rFonts w:hint="eastAsia" w:asciiTheme="minorEastAsia" w:hAnsiTheme="minorEastAsia"/>
          <w:szCs w:val="21"/>
        </w:rPr>
        <w:t>按照面向服务架构（</w:t>
      </w:r>
      <w:r>
        <w:rPr>
          <w:rFonts w:asciiTheme="minorEastAsia" w:hAnsiTheme="minorEastAsia"/>
          <w:szCs w:val="21"/>
        </w:rPr>
        <w:t>SOA</w:t>
      </w:r>
      <w:r>
        <w:rPr>
          <w:rFonts w:hint="eastAsia" w:asciiTheme="minorEastAsia" w:hAnsiTheme="minorEastAsia"/>
          <w:szCs w:val="21"/>
        </w:rPr>
        <w:t>：</w:t>
      </w:r>
      <w:r>
        <w:rPr>
          <w:rFonts w:asciiTheme="minorEastAsia" w:hAnsiTheme="minorEastAsia"/>
          <w:szCs w:val="21"/>
        </w:rPr>
        <w:t xml:space="preserve"> Service Oriented  Architecture</w:t>
      </w:r>
      <w:r>
        <w:rPr>
          <w:rFonts w:hint="eastAsia" w:asciiTheme="minorEastAsia" w:hAnsiTheme="minorEastAsia"/>
          <w:szCs w:val="21"/>
        </w:rPr>
        <w:t>）实现系统内</w:t>
      </w:r>
      <w:r>
        <w:rPr>
          <w:rFonts w:asciiTheme="minorEastAsia" w:hAnsiTheme="minorEastAsia"/>
          <w:szCs w:val="21"/>
        </w:rPr>
        <w:t>/</w:t>
      </w:r>
      <w:r>
        <w:rPr>
          <w:rFonts w:hint="eastAsia" w:asciiTheme="minorEastAsia" w:hAnsiTheme="minorEastAsia"/>
          <w:szCs w:val="21"/>
        </w:rPr>
        <w:t>系统间服务接口，</w:t>
      </w:r>
      <w:r>
        <w:rPr>
          <w:rFonts w:asciiTheme="minorEastAsia" w:hAnsiTheme="minorEastAsia"/>
          <w:szCs w:val="21"/>
        </w:rPr>
        <w:t xml:space="preserve"> </w:t>
      </w:r>
      <w:r>
        <w:rPr>
          <w:rFonts w:hint="eastAsia" w:asciiTheme="minorEastAsia" w:hAnsiTheme="minorEastAsia"/>
          <w:szCs w:val="21"/>
        </w:rPr>
        <w:t>实现系统的松耦合与开放性；</w:t>
      </w:r>
      <w:r>
        <w:rPr>
          <w:rFonts w:asciiTheme="minorEastAsia" w:hAnsiTheme="minorEastAsia"/>
          <w:szCs w:val="21"/>
        </w:rPr>
        <w:t xml:space="preserve"> </w:t>
      </w:r>
      <w:r>
        <w:rPr>
          <w:rFonts w:hint="eastAsia" w:ascii="宋体" w:hAnsi="宋体" w:eastAsia="宋体" w:cs="宋体"/>
          <w:szCs w:val="21"/>
        </w:rPr>
        <w:t></w:t>
      </w:r>
      <w:r>
        <w:rPr>
          <w:rFonts w:hint="eastAsia" w:cs="宋体" w:asciiTheme="minorEastAsia" w:hAnsiTheme="minorEastAsia"/>
          <w:szCs w:val="21"/>
        </w:rPr>
        <w:t xml:space="preserve"> </w:t>
      </w:r>
    </w:p>
    <w:p>
      <w:pPr>
        <w:pStyle w:val="19"/>
        <w:numPr>
          <w:ilvl w:val="0"/>
          <w:numId w:val="4"/>
        </w:numPr>
        <w:spacing w:line="360" w:lineRule="auto"/>
        <w:ind w:firstLineChars="0"/>
        <w:jc w:val="left"/>
        <w:rPr>
          <w:rFonts w:asciiTheme="minorEastAsia" w:hAnsiTheme="minorEastAsia"/>
          <w:szCs w:val="21"/>
        </w:rPr>
      </w:pPr>
      <w:r>
        <w:rPr>
          <w:rFonts w:hint="eastAsia" w:asciiTheme="minorEastAsia" w:hAnsiTheme="minorEastAsia"/>
          <w:szCs w:val="21"/>
        </w:rPr>
        <w:t>采用</w:t>
      </w:r>
      <w:r>
        <w:rPr>
          <w:rFonts w:hint="eastAsia" w:ascii="宋体" w:hAnsi="宋体"/>
          <w:szCs w:val="21"/>
        </w:rPr>
        <w:t>Ajax，Html5，</w:t>
      </w:r>
      <w:r>
        <w:rPr>
          <w:rFonts w:ascii="宋体" w:hAnsi="宋体"/>
          <w:szCs w:val="21"/>
        </w:rPr>
        <w:t>轻量级</w:t>
      </w:r>
      <w:r>
        <w:rPr>
          <w:rFonts w:hint="eastAsia" w:ascii="宋体" w:hAnsi="宋体"/>
          <w:szCs w:val="21"/>
        </w:rPr>
        <w:t>Js</w:t>
      </w:r>
      <w:r>
        <w:rPr>
          <w:rFonts w:ascii="宋体" w:hAnsi="宋体"/>
          <w:szCs w:val="21"/>
        </w:rPr>
        <w:t>框架</w:t>
      </w:r>
      <w:r>
        <w:rPr>
          <w:rFonts w:hint="eastAsia" w:asciiTheme="minorEastAsia" w:hAnsiTheme="minorEastAsia"/>
          <w:szCs w:val="21"/>
        </w:rPr>
        <w:t>，保障系统的高效性；</w:t>
      </w:r>
      <w:r>
        <w:rPr>
          <w:rFonts w:asciiTheme="minorEastAsia" w:hAnsiTheme="minorEastAsia"/>
          <w:szCs w:val="21"/>
        </w:rPr>
        <w:t xml:space="preserve"> </w:t>
      </w:r>
    </w:p>
    <w:p>
      <w:pPr>
        <w:pStyle w:val="19"/>
        <w:numPr>
          <w:ilvl w:val="0"/>
          <w:numId w:val="4"/>
        </w:numPr>
        <w:spacing w:line="360" w:lineRule="auto"/>
        <w:ind w:firstLineChars="0"/>
        <w:rPr>
          <w:rFonts w:asciiTheme="minorEastAsia" w:hAnsiTheme="minorEastAsia"/>
          <w:b/>
          <w:szCs w:val="21"/>
        </w:rPr>
      </w:pPr>
      <w:r>
        <w:rPr>
          <w:rFonts w:hint="eastAsia" w:asciiTheme="minorEastAsia" w:hAnsiTheme="minorEastAsia"/>
          <w:szCs w:val="21"/>
        </w:rPr>
        <w:t>系统可以运行在各种主流操作系统平台上。</w:t>
      </w:r>
    </w:p>
    <w:p>
      <w:pPr>
        <w:spacing w:line="360" w:lineRule="auto"/>
        <w:ind w:left="66" w:firstLine="419"/>
        <w:rPr>
          <w:rFonts w:asciiTheme="minorEastAsia" w:hAnsiTheme="minorEastAsia" w:cstheme="minorEastAsia"/>
          <w:szCs w:val="21"/>
        </w:rPr>
      </w:pPr>
      <w:r>
        <w:rPr>
          <w:rFonts w:hint="eastAsia" w:asciiTheme="minorEastAsia" w:hAnsiTheme="minorEastAsia" w:cstheme="minorEastAsia"/>
          <w:szCs w:val="21"/>
        </w:rPr>
        <w:t>系统可靠性：</w:t>
      </w:r>
    </w:p>
    <w:p>
      <w:pPr>
        <w:spacing w:line="360" w:lineRule="auto"/>
        <w:ind w:left="66" w:firstLine="419"/>
        <w:rPr>
          <w:rFonts w:asciiTheme="minorEastAsia" w:hAnsiTheme="minorEastAsia" w:cstheme="minorEastAsia"/>
          <w:szCs w:val="21"/>
        </w:rPr>
      </w:pPr>
      <w:r>
        <w:rPr>
          <w:rFonts w:hint="eastAsia" w:asciiTheme="minorEastAsia" w:hAnsiTheme="minorEastAsia"/>
          <w:szCs w:val="21"/>
        </w:rPr>
        <w:t>系统统运行情况稳定可靠，若系统发生异常停止情况，不影响其管理的</w:t>
      </w:r>
      <w:r>
        <w:rPr>
          <w:rFonts w:asciiTheme="minorEastAsia" w:hAnsiTheme="minorEastAsia"/>
          <w:szCs w:val="21"/>
        </w:rPr>
        <w:t>IT</w:t>
      </w:r>
      <w:r>
        <w:rPr>
          <w:rFonts w:hint="eastAsia" w:asciiTheme="minorEastAsia" w:hAnsiTheme="minorEastAsia"/>
          <w:szCs w:val="21"/>
        </w:rPr>
        <w:t>基</w:t>
      </w:r>
      <w:r>
        <w:rPr>
          <w:rFonts w:asciiTheme="minorEastAsia" w:hAnsiTheme="minorEastAsia"/>
          <w:szCs w:val="21"/>
        </w:rPr>
        <w:t>础设施和应用系统。</w:t>
      </w:r>
    </w:p>
    <w:p>
      <w:pPr>
        <w:pStyle w:val="14"/>
        <w:numPr>
          <w:ilvl w:val="1"/>
          <w:numId w:val="1"/>
        </w:numPr>
        <w:spacing w:after="156" w:afterLines="50"/>
        <w:rPr>
          <w:rFonts w:hint="eastAsia" w:ascii="宋体" w:hAnsi="宋体" w:eastAsia="宋体"/>
          <w:b/>
        </w:rPr>
      </w:pPr>
      <w:r>
        <w:rPr>
          <w:rFonts w:hint="eastAsia" w:ascii="宋体" w:hAnsi="宋体" w:eastAsia="宋体"/>
          <w:b/>
        </w:rPr>
        <w:t>项目建设设计原则</w:t>
      </w:r>
    </w:p>
    <w:p>
      <w:pPr>
        <w:numPr>
          <w:ilvl w:val="2"/>
          <w:numId w:val="1"/>
        </w:numPr>
      </w:pPr>
      <w:r>
        <w:rPr>
          <w:rFonts w:hint="eastAsia"/>
        </w:rPr>
        <w:t>规范性原则</w:t>
      </w:r>
    </w:p>
    <w:p>
      <w:pPr>
        <w:ind w:firstLine="420"/>
      </w:pPr>
      <w:r>
        <w:rPr>
          <w:rFonts w:hint="eastAsia"/>
        </w:rPr>
        <w:t>在项目实施的过程中，按照“总体设计，分步实施”的原则，软件项目必须标准化，遵循国际通用开发标准，并按照国家标准和行业标准执行。结合本项目需求，形成接口规范、数据规范、应用系统接入等规范，参与验收和评估。</w:t>
      </w:r>
    </w:p>
    <w:p>
      <w:pPr>
        <w:numPr>
          <w:ilvl w:val="2"/>
          <w:numId w:val="1"/>
        </w:numPr>
      </w:pPr>
      <w:r>
        <w:rPr>
          <w:rFonts w:hint="eastAsia"/>
        </w:rPr>
        <w:t>可靠性原则</w:t>
      </w:r>
    </w:p>
    <w:p>
      <w:pPr>
        <w:ind w:firstLine="420"/>
      </w:pPr>
      <w:r>
        <w:rPr>
          <w:rFonts w:hint="eastAsia"/>
        </w:rPr>
        <w:t>必须保证系统的稳定性、可用性和运行性能，避免单点故障和关键信息丢失。</w:t>
      </w:r>
    </w:p>
    <w:p>
      <w:pPr>
        <w:numPr>
          <w:ilvl w:val="2"/>
          <w:numId w:val="1"/>
        </w:numPr>
      </w:pPr>
      <w:r>
        <w:rPr>
          <w:rFonts w:hint="eastAsia"/>
        </w:rPr>
        <w:t>扩展性原则</w:t>
      </w:r>
    </w:p>
    <w:p>
      <w:pPr>
        <w:ind w:firstLine="420"/>
      </w:pPr>
      <w:r>
        <w:rPr>
          <w:rFonts w:hint="eastAsia"/>
        </w:rPr>
        <w:t>系统应采用模块化、组件化的体系结构，在技术架构和设计模式上保证技术的延续性，灵活的扩展性和广泛的适应性。确保系统能够满足用户在数据及业务功能扩展方面的要求。</w:t>
      </w:r>
    </w:p>
    <w:p>
      <w:pPr>
        <w:numPr>
          <w:ilvl w:val="2"/>
          <w:numId w:val="1"/>
        </w:numPr>
      </w:pPr>
      <w:r>
        <w:rPr>
          <w:rFonts w:hint="eastAsia"/>
        </w:rPr>
        <w:t>开发性原则</w:t>
      </w:r>
    </w:p>
    <w:p>
      <w:pPr>
        <w:ind w:firstLine="420"/>
      </w:pPr>
      <w:r>
        <w:rPr>
          <w:rFonts w:hint="eastAsia"/>
        </w:rPr>
        <w:t>在内容模块设计上充分考虑开放性，便于日后内容维护和扩展，同时要充分考虑后台接口和二次开发。</w:t>
      </w:r>
    </w:p>
    <w:p>
      <w:pPr>
        <w:numPr>
          <w:ilvl w:val="2"/>
          <w:numId w:val="1"/>
        </w:numPr>
      </w:pPr>
      <w:r>
        <w:rPr>
          <w:rFonts w:hint="eastAsia"/>
        </w:rPr>
        <w:t>易用性原则</w:t>
      </w:r>
    </w:p>
    <w:p>
      <w:pPr>
        <w:ind w:firstLine="420"/>
      </w:pPr>
      <w:r>
        <w:rPr>
          <w:rFonts w:hint="eastAsia"/>
        </w:rPr>
        <w:t>需考虑用户的使用习惯和要求，提供灵活易用的页面布局。</w:t>
      </w:r>
    </w:p>
    <w:p>
      <w:pPr>
        <w:numPr>
          <w:ilvl w:val="2"/>
          <w:numId w:val="1"/>
        </w:numPr>
      </w:pPr>
      <w:r>
        <w:rPr>
          <w:rFonts w:hint="eastAsia"/>
        </w:rPr>
        <w:t>安全保密原则</w:t>
      </w:r>
    </w:p>
    <w:p>
      <w:pPr>
        <w:ind w:firstLine="420"/>
      </w:pPr>
      <w:r>
        <w:rPr>
          <w:rFonts w:hint="eastAsia"/>
        </w:rPr>
        <w:t>具备统一完善的多级安全机制设置。符合国家安全及保密部门要求。拒绝非法用户和合法用户越权操作。避免系统数据遭到破坏。防止系统数据被窃取和篡改。对于关键信息使用加密传输。传输的数据文件提供不可抵赖性确认。</w:t>
      </w:r>
    </w:p>
    <w:p>
      <w:pPr>
        <w:pStyle w:val="14"/>
        <w:numPr>
          <w:ilvl w:val="1"/>
          <w:numId w:val="1"/>
        </w:numPr>
        <w:spacing w:after="156" w:afterLines="50"/>
        <w:rPr>
          <w:rFonts w:hint="eastAsia" w:ascii="宋体" w:hAnsi="宋体" w:eastAsia="宋体"/>
          <w:b/>
        </w:rPr>
      </w:pPr>
      <w:r>
        <w:rPr>
          <w:rFonts w:hint="eastAsia" w:ascii="宋体" w:hAnsi="宋体" w:eastAsia="宋体"/>
          <w:b/>
        </w:rPr>
        <w:t>源代码要求</w:t>
      </w:r>
    </w:p>
    <w:p>
      <w:pPr>
        <w:ind w:firstLine="420"/>
      </w:pPr>
      <w:r>
        <w:rPr>
          <w:rFonts w:hint="eastAsia"/>
        </w:rPr>
        <w:t>投标方应尽可能提供源代码，如果不能提供，需详尽的提供数据结构及配置方式，应确保招标方能够在系统中方便地进行二次开发。</w:t>
      </w:r>
    </w:p>
    <w:p>
      <w:pPr>
        <w:pStyle w:val="14"/>
        <w:numPr>
          <w:ilvl w:val="1"/>
          <w:numId w:val="1"/>
        </w:numPr>
        <w:spacing w:after="156" w:afterLines="50"/>
        <w:rPr>
          <w:rFonts w:hint="eastAsia" w:ascii="宋体" w:hAnsi="宋体" w:eastAsia="宋体"/>
          <w:b/>
        </w:rPr>
      </w:pPr>
      <w:r>
        <w:rPr>
          <w:rFonts w:hint="eastAsia" w:ascii="宋体" w:hAnsi="宋体" w:eastAsia="宋体"/>
          <w:b/>
        </w:rPr>
        <w:t>项目人员配备和能力</w:t>
      </w:r>
    </w:p>
    <w:p>
      <w:pPr>
        <w:adjustRightInd w:val="0"/>
        <w:snapToGrid w:val="0"/>
        <w:spacing w:line="500" w:lineRule="atLeast"/>
        <w:ind w:firstLine="480" w:firstLineChars="200"/>
        <w:rPr>
          <w:rFonts w:ascii="宋体" w:hAnsi="宋体"/>
          <w:color w:val="000000"/>
          <w:sz w:val="24"/>
        </w:rPr>
      </w:pPr>
      <w:r>
        <w:rPr>
          <w:rFonts w:hint="eastAsia" w:ascii="宋体" w:hAnsi="宋体"/>
          <w:color w:val="000000"/>
          <w:sz w:val="24"/>
        </w:rPr>
        <w:t>投标方应说明项目实施方案、项目经理背景、项目实施团队组成、项目实施组织与协调和项目实施进度安排。</w:t>
      </w:r>
    </w:p>
    <w:p>
      <w:pPr>
        <w:adjustRightInd w:val="0"/>
        <w:snapToGrid w:val="0"/>
        <w:spacing w:line="500" w:lineRule="atLeast"/>
        <w:ind w:firstLine="480" w:firstLineChars="200"/>
        <w:rPr>
          <w:rFonts w:ascii="宋体" w:hAnsi="宋体"/>
          <w:color w:val="000000"/>
          <w:sz w:val="24"/>
        </w:rPr>
      </w:pPr>
    </w:p>
    <w:p>
      <w:pPr>
        <w:pStyle w:val="14"/>
        <w:numPr>
          <w:ilvl w:val="1"/>
          <w:numId w:val="1"/>
        </w:numPr>
        <w:spacing w:after="156" w:afterLines="50"/>
        <w:rPr>
          <w:rFonts w:hint="eastAsia" w:ascii="宋体" w:hAnsi="宋体" w:eastAsia="宋体"/>
          <w:b/>
        </w:rPr>
      </w:pPr>
      <w:r>
        <w:rPr>
          <w:rFonts w:hint="eastAsia" w:ascii="宋体" w:hAnsi="宋体" w:eastAsia="宋体"/>
          <w:b/>
        </w:rPr>
        <w:t>质量要求</w:t>
      </w:r>
    </w:p>
    <w:p>
      <w:pPr>
        <w:pStyle w:val="21"/>
        <w:ind w:firstLine="422"/>
        <w:rPr>
          <w:b/>
        </w:rPr>
      </w:pPr>
      <w:r>
        <w:rPr>
          <w:rFonts w:hint="eastAsia"/>
          <w:b/>
        </w:rPr>
        <w:t>开发组</w:t>
      </w:r>
    </w:p>
    <w:p>
      <w:pPr>
        <w:pStyle w:val="21"/>
        <w:ind w:firstLine="420"/>
      </w:pPr>
      <w:r>
        <w:rPr>
          <w:rFonts w:hint="eastAsia"/>
        </w:rPr>
        <w:t>（1）职责</w:t>
      </w:r>
    </w:p>
    <w:p>
      <w:pPr>
        <w:pStyle w:val="21"/>
        <w:ind w:firstLine="420"/>
      </w:pPr>
      <w:r>
        <w:rPr>
          <w:rFonts w:hint="eastAsia"/>
        </w:rPr>
        <w:t xml:space="preserve">负责项目的设计、开发、集成；解决系统运行中的软件问题。 </w:t>
      </w:r>
    </w:p>
    <w:p>
      <w:pPr>
        <w:pStyle w:val="21"/>
        <w:ind w:firstLine="420"/>
      </w:pPr>
      <w:r>
        <w:t>开发组对软件的实现起决定性的作用。其工作主要是需求分析说明、软件概要设计文档、软件详细设计文档以及软件程序等的编写和对测试过程中发现的问题进行纠正等。</w:t>
      </w:r>
    </w:p>
    <w:p>
      <w:pPr>
        <w:pStyle w:val="21"/>
        <w:ind w:firstLine="420"/>
      </w:pPr>
      <w:r>
        <w:t>需求分析阶段主要工作</w:t>
      </w:r>
      <w:r>
        <w:rPr>
          <w:rFonts w:hint="eastAsia"/>
        </w:rPr>
        <w:t>为：</w:t>
      </w:r>
      <w:r>
        <w:t>根据用户提出的要求进行整理、分析，并且完成需求分析报告。</w:t>
      </w:r>
    </w:p>
    <w:p>
      <w:pPr>
        <w:pStyle w:val="21"/>
        <w:ind w:firstLine="420"/>
      </w:pPr>
      <w:r>
        <w:t>软件设计阶段主要工作</w:t>
      </w:r>
      <w:r>
        <w:rPr>
          <w:rFonts w:hint="eastAsia"/>
        </w:rPr>
        <w:t>为：</w:t>
      </w:r>
      <w:r>
        <w:t>根据需求分析说明对软件进行设计规划，包括软件结构、模块划分、算法以及接口等的设计，并力求保证设计的思路和用户的需求相吻合。</w:t>
      </w:r>
    </w:p>
    <w:p>
      <w:pPr>
        <w:pStyle w:val="21"/>
        <w:ind w:firstLine="420"/>
      </w:pPr>
      <w:r>
        <w:t>软件实现阶段主要工作</w:t>
      </w:r>
      <w:r>
        <w:rPr>
          <w:rFonts w:hint="eastAsia"/>
        </w:rPr>
        <w:t>为：</w:t>
      </w:r>
      <w:r>
        <w:t>完成软件的编码工作，期间还要提供与程序代码有关的完整的数据、文档等。</w:t>
      </w:r>
    </w:p>
    <w:p>
      <w:pPr>
        <w:pStyle w:val="21"/>
        <w:ind w:firstLine="420"/>
      </w:pPr>
      <w:r>
        <w:t>软件测试阶段主要工作</w:t>
      </w:r>
      <w:r>
        <w:rPr>
          <w:rFonts w:hint="eastAsia"/>
        </w:rPr>
        <w:t>为：对</w:t>
      </w:r>
      <w:r>
        <w:t>测试人员提出的错误进行修改。</w:t>
      </w:r>
    </w:p>
    <w:p>
      <w:pPr>
        <w:pStyle w:val="21"/>
        <w:ind w:firstLine="420"/>
      </w:pPr>
      <w:r>
        <w:rPr>
          <w:rFonts w:hint="eastAsia"/>
        </w:rPr>
        <w:t>（2）组成</w:t>
      </w:r>
    </w:p>
    <w:p>
      <w:pPr>
        <w:pStyle w:val="21"/>
        <w:ind w:firstLine="420"/>
      </w:pPr>
      <w:r>
        <w:rPr>
          <w:rFonts w:hint="eastAsia"/>
        </w:rPr>
        <w:t>由实施方开发人员组成，需要公司的关键用户的配合。</w:t>
      </w:r>
    </w:p>
    <w:p>
      <w:pPr>
        <w:pStyle w:val="21"/>
        <w:ind w:firstLine="422"/>
        <w:rPr>
          <w:b/>
        </w:rPr>
      </w:pPr>
      <w:r>
        <w:rPr>
          <w:rFonts w:hint="eastAsia"/>
          <w:b/>
        </w:rPr>
        <w:t>测试组</w:t>
      </w:r>
    </w:p>
    <w:p>
      <w:pPr>
        <w:pStyle w:val="21"/>
        <w:ind w:firstLine="420"/>
      </w:pPr>
      <w:r>
        <w:rPr>
          <w:rFonts w:hint="eastAsia"/>
        </w:rPr>
        <w:t>（1）职责</w:t>
      </w:r>
    </w:p>
    <w:p>
      <w:pPr>
        <w:pStyle w:val="21"/>
        <w:ind w:firstLine="420"/>
      </w:pPr>
      <w:r>
        <w:rPr>
          <w:rFonts w:hint="eastAsia"/>
        </w:rPr>
        <w:t>负责编写项目的测试用例；进行系统测试、编写系统测试报告。</w:t>
      </w:r>
    </w:p>
    <w:p>
      <w:pPr>
        <w:pStyle w:val="21"/>
        <w:ind w:firstLine="420"/>
      </w:pPr>
      <w:r>
        <w:t>测试组对软件质量的保证起十分重要的作用，他们是程序问题的第一个发现者，使得软件在</w:t>
      </w:r>
      <w:r>
        <w:rPr>
          <w:rFonts w:hint="eastAsia"/>
        </w:rPr>
        <w:t>提交</w:t>
      </w:r>
      <w:r>
        <w:t>前错误发生率降到最低。同样，测试组在软件开发过程的不同阶段所应做的工作也有所不同。测试组的工作包括制定软件测试计划、设计测试大纲和测试用例、提交测试问题报告和测试结果报告，</w:t>
      </w:r>
      <w:r>
        <w:rPr>
          <w:rFonts w:hint="eastAsia"/>
        </w:rPr>
        <w:t>并</w:t>
      </w:r>
      <w:r>
        <w:t>提交给质量保证组进行评审。</w:t>
      </w:r>
    </w:p>
    <w:p>
      <w:pPr>
        <w:pStyle w:val="21"/>
        <w:ind w:firstLine="420"/>
      </w:pPr>
      <w:r>
        <w:rPr>
          <w:rFonts w:hint="eastAsia"/>
        </w:rPr>
        <w:t>（2）组成</w:t>
      </w:r>
    </w:p>
    <w:p>
      <w:pPr>
        <w:pStyle w:val="21"/>
        <w:ind w:firstLine="420"/>
      </w:pPr>
      <w:r>
        <w:rPr>
          <w:rFonts w:hint="eastAsia"/>
        </w:rPr>
        <w:t>由实施方测试人员组成，需要贵公司关键用户的配合。</w:t>
      </w:r>
    </w:p>
    <w:p>
      <w:pPr>
        <w:pStyle w:val="21"/>
        <w:ind w:firstLine="422"/>
        <w:rPr>
          <w:b/>
        </w:rPr>
      </w:pPr>
      <w:r>
        <w:rPr>
          <w:rFonts w:hint="eastAsia"/>
          <w:b/>
        </w:rPr>
        <w:t>系统组</w:t>
      </w:r>
    </w:p>
    <w:p>
      <w:pPr>
        <w:pStyle w:val="21"/>
        <w:ind w:firstLine="420"/>
      </w:pPr>
      <w:r>
        <w:rPr>
          <w:rFonts w:hint="eastAsia"/>
        </w:rPr>
        <w:t>（1）职责</w:t>
      </w:r>
    </w:p>
    <w:p>
      <w:pPr>
        <w:pStyle w:val="21"/>
        <w:ind w:firstLine="420"/>
      </w:pPr>
      <w:r>
        <w:rPr>
          <w:rFonts w:hint="eastAsia"/>
        </w:rPr>
        <w:t>负责原型系统及相关软件的安装、配置、调试及初始化；在下列领域中提供技术支持：计算机网络、操作系统管理、客户服务器结构、关系数据库管理、系统的备份和灾难恢复、性能和优化、系统安全和用户管理、软件版权管理管理和变化管理。负责系统软硬件、网络、数据库的日常维护；负责系统管理员的培训。</w:t>
      </w:r>
    </w:p>
    <w:p>
      <w:pPr>
        <w:pStyle w:val="21"/>
        <w:ind w:firstLine="420"/>
      </w:pPr>
      <w:r>
        <w:rPr>
          <w:rFonts w:hint="eastAsia"/>
        </w:rPr>
        <w:t>（2）组成</w:t>
      </w:r>
    </w:p>
    <w:p>
      <w:pPr>
        <w:pStyle w:val="21"/>
        <w:ind w:firstLine="420"/>
      </w:pPr>
      <w:r>
        <w:rPr>
          <w:rFonts w:hint="eastAsia"/>
        </w:rPr>
        <w:t>由公司的关键用户、内部顾问及实施方顾问团共同组成。</w:t>
      </w:r>
    </w:p>
    <w:p>
      <w:pPr>
        <w:pStyle w:val="21"/>
        <w:ind w:firstLine="422"/>
        <w:rPr>
          <w:b/>
        </w:rPr>
      </w:pPr>
      <w:r>
        <w:rPr>
          <w:rFonts w:hint="eastAsia"/>
          <w:b/>
        </w:rPr>
        <w:t>质量保证组</w:t>
      </w:r>
    </w:p>
    <w:p>
      <w:pPr>
        <w:pStyle w:val="21"/>
        <w:ind w:firstLine="420"/>
      </w:pPr>
      <w:r>
        <w:rPr>
          <w:rFonts w:hint="eastAsia"/>
        </w:rPr>
        <w:t>（1）职责</w:t>
      </w:r>
    </w:p>
    <w:p>
      <w:pPr>
        <w:pStyle w:val="21"/>
        <w:ind w:firstLine="420"/>
        <w:rPr>
          <w:rFonts w:eastAsia="宋体"/>
          <w:b/>
        </w:rPr>
      </w:pPr>
      <w:r>
        <w:rPr>
          <w:rFonts w:hint="eastAsia"/>
        </w:rPr>
        <w:t>负责项目的质量保障活动。</w:t>
      </w:r>
      <w:r>
        <w:t>对软件</w:t>
      </w:r>
      <w:r>
        <w:rPr>
          <w:rFonts w:hint="eastAsia"/>
        </w:rPr>
        <w:t>开发、实施的质量</w:t>
      </w:r>
      <w:r>
        <w:t>进行监督和指导。其重点工作</w:t>
      </w:r>
      <w:r>
        <w:rPr>
          <w:rFonts w:hint="eastAsia"/>
        </w:rPr>
        <w:t>是</w:t>
      </w:r>
      <w:r>
        <w:t>对</w:t>
      </w:r>
      <w:r>
        <w:rPr>
          <w:rFonts w:hint="eastAsia"/>
        </w:rPr>
        <w:t>项目执行过程</w:t>
      </w:r>
      <w:r>
        <w:t>各个阶段进行审查和评审，并且制定评审和审查的规程，规定评审和审查的内容、组织形式、进度安排以及评审组织的职责。</w:t>
      </w:r>
    </w:p>
    <w:p>
      <w:pPr>
        <w:pStyle w:val="14"/>
        <w:numPr>
          <w:ilvl w:val="1"/>
          <w:numId w:val="1"/>
        </w:numPr>
        <w:spacing w:after="156" w:afterLines="50"/>
        <w:rPr>
          <w:rFonts w:hint="eastAsia" w:ascii="宋体" w:hAnsi="宋体" w:eastAsia="宋体"/>
          <w:b/>
        </w:rPr>
      </w:pPr>
      <w:r>
        <w:rPr>
          <w:rFonts w:hint="eastAsia" w:ascii="宋体" w:hAnsi="宋体" w:eastAsia="宋体"/>
          <w:b/>
        </w:rPr>
        <w:t>实施培训要求</w:t>
      </w:r>
    </w:p>
    <w:p>
      <w:pPr>
        <w:adjustRightInd w:val="0"/>
        <w:snapToGrid w:val="0"/>
        <w:spacing w:line="500" w:lineRule="atLeast"/>
        <w:ind w:firstLine="420" w:firstLineChars="200"/>
        <w:rPr>
          <w:rFonts w:ascii="宋体" w:hAnsi="宋体"/>
          <w:color w:val="000000"/>
          <w:szCs w:val="21"/>
        </w:rPr>
      </w:pPr>
      <w:r>
        <w:rPr>
          <w:rFonts w:hint="eastAsia" w:ascii="宋体" w:hAnsi="宋体"/>
          <w:color w:val="000000"/>
          <w:szCs w:val="21"/>
        </w:rPr>
        <w:t>投标人应对买方（最终用户）人员进行</w:t>
      </w:r>
      <w:r>
        <w:rPr>
          <w:rFonts w:hint="eastAsia"/>
          <w:szCs w:val="21"/>
        </w:rPr>
        <w:t>集团管理系统的需求调研、方案制定、系统搭建配置和培训，软件培训包括原厂培训与现场培训</w:t>
      </w:r>
      <w:r>
        <w:rPr>
          <w:rFonts w:hint="eastAsia" w:ascii="宋体" w:hAnsi="宋体"/>
          <w:color w:val="000000"/>
          <w:szCs w:val="21"/>
        </w:rPr>
        <w:t>技术培训，使其能掌握有关系统软件的使用、维护和管理，达到能独立进行管理、故障处理、日常维护等工作的目的，以保障投标人所提供的系统能够正常、安全地运行。</w:t>
      </w:r>
    </w:p>
    <w:p>
      <w:pPr>
        <w:adjustRightInd w:val="0"/>
        <w:snapToGrid w:val="0"/>
        <w:spacing w:line="500" w:lineRule="atLeast"/>
        <w:ind w:firstLine="420" w:firstLineChars="200"/>
        <w:rPr>
          <w:rFonts w:ascii="宋体" w:hAnsi="宋体"/>
          <w:color w:val="000000"/>
          <w:szCs w:val="21"/>
        </w:rPr>
      </w:pPr>
      <w:r>
        <w:rPr>
          <w:rFonts w:hint="eastAsia" w:ascii="宋体" w:hAnsi="宋体"/>
          <w:color w:val="000000"/>
          <w:szCs w:val="21"/>
        </w:rPr>
        <w:t>在系统安装、施工、调试、开通运行的过程中，为用户提供现场培训，提供现场指导，达到管理操作人员熟练操作使用，能够判断与处理运行中的常见故障。</w:t>
      </w:r>
    </w:p>
    <w:p>
      <w:pPr>
        <w:adjustRightInd w:val="0"/>
        <w:snapToGrid w:val="0"/>
        <w:spacing w:line="500" w:lineRule="atLeast"/>
        <w:ind w:firstLine="420" w:firstLineChars="200"/>
        <w:rPr>
          <w:rFonts w:ascii="宋体" w:hAnsi="宋体"/>
          <w:color w:val="000000"/>
          <w:sz w:val="24"/>
        </w:rPr>
      </w:pPr>
      <w:r>
        <w:rPr>
          <w:rFonts w:hint="eastAsia" w:ascii="宋体" w:hAnsi="宋体"/>
          <w:color w:val="000000"/>
          <w:szCs w:val="21"/>
        </w:rPr>
        <w:t>提供全面、及时的培训、维护、咨询服务，并配合用户管理和使用。</w:t>
      </w:r>
    </w:p>
    <w:p>
      <w:pPr>
        <w:adjustRightInd w:val="0"/>
        <w:snapToGrid w:val="0"/>
        <w:spacing w:line="500" w:lineRule="atLeast"/>
        <w:ind w:firstLine="480" w:firstLineChars="200"/>
        <w:rPr>
          <w:rFonts w:ascii="宋体" w:hAnsi="宋体"/>
          <w:color w:val="000000"/>
          <w:sz w:val="24"/>
        </w:rPr>
      </w:pPr>
    </w:p>
    <w:p>
      <w:pPr>
        <w:pStyle w:val="14"/>
        <w:numPr>
          <w:ilvl w:val="1"/>
          <w:numId w:val="1"/>
        </w:numPr>
        <w:spacing w:after="156" w:afterLines="50"/>
        <w:rPr>
          <w:rFonts w:hint="eastAsia" w:ascii="宋体" w:hAnsi="宋体" w:eastAsia="宋体"/>
          <w:b/>
        </w:rPr>
      </w:pPr>
      <w:r>
        <w:rPr>
          <w:rFonts w:hint="eastAsia" w:ascii="宋体" w:hAnsi="宋体" w:eastAsia="宋体"/>
          <w:b/>
        </w:rPr>
        <w:t>验收要求</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单项验收：由买方对合同及软件的主要技术指标进行测试。</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系统验收：由买方按照合同要求对整个系统进行总体功能和性能测试，系统测试结果必须满足本招标文件规定的技术和功能要求。</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连续运行测试：系统初验合格后进行试运行，试运行期为1个月。在试运行期内如出现重大问题(主机系统瘫痪或累计24小时以上无法恢复)，则试运行期从故障修复之日起重新计算，一直到系统连续1个月无故障时为止。</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试运行期通过后，投标人可向用户提出最终验收申请，由用户组织有关人员进行在15个工作日内进行最终验收，用户根据测试结果拟定最终验收报告，并在最终验收报告上签字确认。</w:t>
      </w:r>
    </w:p>
    <w:p>
      <w:pPr>
        <w:pStyle w:val="14"/>
        <w:numPr>
          <w:ilvl w:val="1"/>
          <w:numId w:val="1"/>
        </w:numPr>
        <w:spacing w:after="156" w:afterLines="50"/>
        <w:rPr>
          <w:rFonts w:hint="eastAsia" w:ascii="宋体" w:hAnsi="宋体" w:eastAsia="宋体"/>
          <w:b/>
        </w:rPr>
      </w:pPr>
      <w:r>
        <w:rPr>
          <w:rFonts w:hint="eastAsia" w:ascii="宋体" w:hAnsi="宋体" w:eastAsia="宋体"/>
          <w:b/>
        </w:rPr>
        <w:t>售后要求</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根据投标人向买方所提供的软件及其应用范围，以及买方的需求，投标人应向买方提供全方位的、有效的、及时的维</w:t>
      </w:r>
      <w:r>
        <w:rPr>
          <w:rFonts w:hint="eastAsia" w:ascii="宋体" w:hAnsi="宋体"/>
          <w:color w:val="000000"/>
          <w:sz w:val="24"/>
          <w:lang w:val="en-US" w:eastAsia="zh-CN"/>
        </w:rPr>
        <w:t>护</w:t>
      </w:r>
      <w:r>
        <w:rPr>
          <w:rFonts w:hint="eastAsia" w:ascii="宋体" w:hAnsi="宋体"/>
          <w:color w:val="000000"/>
          <w:sz w:val="24"/>
        </w:rPr>
        <w:t>服务和技术支持。</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投标人对其提供的</w:t>
      </w:r>
      <w:r>
        <w:rPr>
          <w:rFonts w:hint="eastAsia" w:ascii="宋体" w:hAnsi="宋体"/>
          <w:color w:val="000000"/>
          <w:sz w:val="24"/>
          <w:lang w:val="en-US" w:eastAsia="zh-CN"/>
        </w:rPr>
        <w:t>软件项目</w:t>
      </w:r>
      <w:r>
        <w:rPr>
          <w:rFonts w:hint="eastAsia" w:ascii="宋体" w:hAnsi="宋体"/>
          <w:color w:val="000000"/>
          <w:sz w:val="24"/>
        </w:rPr>
        <w:t>提供</w:t>
      </w:r>
      <w:r>
        <w:rPr>
          <w:rFonts w:hint="eastAsia" w:ascii="宋体" w:hAnsi="宋体"/>
          <w:color w:val="000000"/>
          <w:sz w:val="24"/>
          <w:lang w:val="en-US" w:eastAsia="zh-CN"/>
        </w:rPr>
        <w:t>2</w:t>
      </w:r>
      <w:r>
        <w:rPr>
          <w:rFonts w:hint="eastAsia" w:ascii="宋体" w:hAnsi="宋体"/>
          <w:color w:val="000000"/>
          <w:sz w:val="24"/>
        </w:rPr>
        <w:t>年免费技术支持服务。技术支持服务期限从</w:t>
      </w:r>
      <w:r>
        <w:rPr>
          <w:rFonts w:hint="eastAsia" w:ascii="宋体" w:hAnsi="宋体"/>
          <w:color w:val="000000"/>
          <w:sz w:val="24"/>
          <w:lang w:val="en-US" w:eastAsia="zh-CN"/>
        </w:rPr>
        <w:t>软件项目</w:t>
      </w:r>
      <w:r>
        <w:rPr>
          <w:rFonts w:hint="eastAsia" w:ascii="宋体" w:hAnsi="宋体"/>
          <w:color w:val="000000"/>
          <w:sz w:val="24"/>
        </w:rPr>
        <w:t>验收通过之日算起。</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在技术支持期限内，投标人必须为用户提供技术援助电话,用于用户报告故障。技术援助电话支持中文。如电话支持无法解决,投标商应在接到通知后4小时内作出响应，如果需要现场支持排除故障，则应提供免费上门，要求24小时内到达用户现场。</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因投标人设计、安装原因而造成故障，则技术支持期限从故障修复之日重新开始起算。</w:t>
      </w:r>
    </w:p>
    <w:p>
      <w:pPr>
        <w:numPr>
          <w:ilvl w:val="2"/>
          <w:numId w:val="1"/>
        </w:numPr>
        <w:adjustRightInd w:val="0"/>
        <w:snapToGrid w:val="0"/>
        <w:spacing w:line="500" w:lineRule="atLeast"/>
        <w:rPr>
          <w:rFonts w:ascii="宋体" w:hAnsi="宋体"/>
          <w:color w:val="000000"/>
          <w:sz w:val="24"/>
        </w:rPr>
      </w:pPr>
      <w:r>
        <w:rPr>
          <w:rFonts w:hint="eastAsia" w:ascii="宋体" w:hAnsi="宋体"/>
          <w:color w:val="000000"/>
          <w:sz w:val="24"/>
        </w:rPr>
        <w:t>除提供上述技术服务外，投标人有责任提供以下形式的免费技术服务：</w:t>
      </w:r>
    </w:p>
    <w:p>
      <w:pPr>
        <w:numPr>
          <w:ilvl w:val="3"/>
          <w:numId w:val="1"/>
        </w:numPr>
        <w:adjustRightInd w:val="0"/>
        <w:snapToGrid w:val="0"/>
        <w:spacing w:line="500" w:lineRule="atLeast"/>
        <w:rPr>
          <w:rFonts w:ascii="宋体" w:hAnsi="宋体"/>
          <w:color w:val="000000"/>
          <w:sz w:val="24"/>
        </w:rPr>
      </w:pPr>
      <w:r>
        <w:rPr>
          <w:rFonts w:hint="eastAsia" w:ascii="宋体" w:hAnsi="宋体"/>
          <w:color w:val="000000"/>
          <w:sz w:val="24"/>
        </w:rPr>
        <w:t>电话咨询</w:t>
      </w:r>
    </w:p>
    <w:p>
      <w:pPr>
        <w:adjustRightInd w:val="0"/>
        <w:snapToGrid w:val="0"/>
        <w:spacing w:line="500" w:lineRule="atLeast"/>
        <w:ind w:firstLine="480" w:firstLineChars="200"/>
        <w:rPr>
          <w:rFonts w:ascii="宋体" w:hAnsi="宋体"/>
          <w:color w:val="000000"/>
          <w:sz w:val="24"/>
        </w:rPr>
      </w:pPr>
      <w:r>
        <w:rPr>
          <w:rFonts w:hint="eastAsia" w:ascii="宋体" w:hAnsi="宋体"/>
          <w:color w:val="000000"/>
          <w:sz w:val="24"/>
        </w:rPr>
        <w:t>提供咨询电话技术支持服务，解答用户在系统使用中遇到的问题，及时提出解决问题的建议和操作方法。</w:t>
      </w:r>
    </w:p>
    <w:p>
      <w:pPr>
        <w:numPr>
          <w:ilvl w:val="3"/>
          <w:numId w:val="1"/>
        </w:numPr>
        <w:adjustRightInd w:val="0"/>
        <w:snapToGrid w:val="0"/>
        <w:spacing w:line="500" w:lineRule="atLeast"/>
        <w:rPr>
          <w:rFonts w:ascii="宋体" w:hAnsi="宋体"/>
          <w:color w:val="000000"/>
          <w:sz w:val="24"/>
        </w:rPr>
      </w:pPr>
      <w:r>
        <w:rPr>
          <w:rFonts w:hint="eastAsia" w:ascii="宋体" w:hAnsi="宋体"/>
          <w:color w:val="000000"/>
          <w:sz w:val="24"/>
        </w:rPr>
        <w:t>远程在线诊断和故障排除</w:t>
      </w:r>
    </w:p>
    <w:p>
      <w:pPr>
        <w:adjustRightInd w:val="0"/>
        <w:snapToGrid w:val="0"/>
        <w:spacing w:line="500" w:lineRule="atLeast"/>
        <w:ind w:firstLine="480" w:firstLineChars="200"/>
        <w:rPr>
          <w:rFonts w:ascii="宋体" w:hAnsi="宋体"/>
          <w:color w:val="000000"/>
          <w:sz w:val="24"/>
        </w:rPr>
      </w:pPr>
      <w:r>
        <w:rPr>
          <w:rFonts w:hint="eastAsia" w:ascii="宋体" w:hAnsi="宋体"/>
          <w:color w:val="000000"/>
          <w:sz w:val="24"/>
        </w:rPr>
        <w:t>对于电话咨询解决不了的问题，经用户授权投标商可通过电话或Internet远程登录到用户网络系统进行故障诊断和故障排除。</w:t>
      </w:r>
    </w:p>
    <w:p>
      <w:pPr>
        <w:numPr>
          <w:ilvl w:val="3"/>
          <w:numId w:val="1"/>
        </w:numPr>
        <w:adjustRightInd w:val="0"/>
        <w:snapToGrid w:val="0"/>
        <w:spacing w:line="500" w:lineRule="atLeast"/>
        <w:rPr>
          <w:rFonts w:ascii="宋体" w:hAnsi="宋体"/>
          <w:color w:val="000000"/>
          <w:sz w:val="24"/>
        </w:rPr>
      </w:pPr>
      <w:r>
        <w:rPr>
          <w:rFonts w:hint="eastAsia" w:ascii="宋体" w:hAnsi="宋体"/>
          <w:color w:val="000000"/>
          <w:sz w:val="24"/>
        </w:rPr>
        <w:t>现场响应</w:t>
      </w:r>
    </w:p>
    <w:p>
      <w:pPr>
        <w:adjustRightInd w:val="0"/>
        <w:snapToGrid w:val="0"/>
        <w:spacing w:line="500" w:lineRule="atLeast"/>
        <w:ind w:firstLine="480" w:firstLineChars="200"/>
        <w:rPr>
          <w:rFonts w:hint="eastAsia" w:ascii="宋体" w:hAnsi="宋体"/>
          <w:color w:val="000000"/>
          <w:sz w:val="24"/>
        </w:rPr>
      </w:pPr>
      <w:r>
        <w:rPr>
          <w:rFonts w:hint="eastAsia" w:ascii="宋体" w:hAnsi="宋体"/>
          <w:color w:val="000000"/>
          <w:sz w:val="24"/>
        </w:rPr>
        <w:t>若以上两种服务形式不能解决问题，投标人应24小时内指派技术人员赶赴现场进行故障处理。</w:t>
      </w:r>
      <w:bookmarkStart w:id="9" w:name="_GoBack"/>
      <w:bookmarkEnd w:id="9"/>
    </w:p>
    <w:p>
      <w:pPr>
        <w:adjustRightInd w:val="0"/>
        <w:snapToGrid w:val="0"/>
        <w:spacing w:line="500" w:lineRule="atLeast"/>
        <w:ind w:firstLine="480" w:firstLineChars="200"/>
        <w:rPr>
          <w:rFonts w:hint="eastAsia" w:ascii="宋体" w:hAnsi="宋体"/>
          <w:color w:val="000000"/>
          <w:sz w:val="24"/>
        </w:rPr>
      </w:pPr>
    </w:p>
    <w:p>
      <w:pPr>
        <w:adjustRightInd w:val="0"/>
        <w:snapToGrid w:val="0"/>
        <w:spacing w:line="500" w:lineRule="atLeast"/>
        <w:ind w:firstLine="480" w:firstLineChars="200"/>
        <w:rPr>
          <w:rFonts w:hint="default"/>
          <w:lang w:val="en-US"/>
        </w:rPr>
      </w:pPr>
      <w:r>
        <w:rPr>
          <w:rFonts w:hint="eastAsia" w:ascii="宋体" w:hAnsi="宋体"/>
          <w:color w:val="000000"/>
          <w:sz w:val="24"/>
          <w:lang w:val="en-US" w:eastAsia="zh-CN"/>
        </w:rPr>
        <w:t xml:space="preserve">                                                    2019.10.28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entury">
    <w:panose1 w:val="02040604050505020304"/>
    <w:charset w:val="00"/>
    <w:family w:val="roman"/>
    <w:pitch w:val="default"/>
    <w:sig w:usb0="00000287" w:usb1="00000000" w:usb2="00000000" w:usb3="00000000" w:csb0="2000009F" w:csb1="DFD70000"/>
  </w:font>
  <w:font w:name="华文仿宋">
    <w:panose1 w:val="02010600040101010101"/>
    <w:charset w:val="86"/>
    <w:family w:val="auto"/>
    <w:pitch w:val="default"/>
    <w:sig w:usb0="00000287" w:usb1="080F0000" w:usb2="00000000" w:usb3="00000000" w:csb0="0004009F" w:csb1="DFD7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3F8D3A"/>
    <w:multiLevelType w:val="multilevel"/>
    <w:tmpl w:val="DF3F8D3A"/>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1D1F61A7"/>
    <w:multiLevelType w:val="singleLevel"/>
    <w:tmpl w:val="1D1F61A7"/>
    <w:lvl w:ilvl="0" w:tentative="0">
      <w:start w:val="1"/>
      <w:numFmt w:val="decimal"/>
      <w:suff w:val="nothing"/>
      <w:lvlText w:val="（%1）"/>
      <w:lvlJc w:val="left"/>
      <w:pPr>
        <w:ind w:left="840" w:firstLine="0"/>
      </w:pPr>
    </w:lvl>
  </w:abstractNum>
  <w:abstractNum w:abstractNumId="2">
    <w:nsid w:val="5FE5137D"/>
    <w:multiLevelType w:val="multilevel"/>
    <w:tmpl w:val="5FE5137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7C8A036B"/>
    <w:multiLevelType w:val="multilevel"/>
    <w:tmpl w:val="7C8A036B"/>
    <w:lvl w:ilvl="0" w:tentative="0">
      <w:start w:val="1"/>
      <w:numFmt w:val="decimal"/>
      <w:lvlText w:val="(%1)"/>
      <w:lvlJc w:val="left"/>
      <w:pPr>
        <w:ind w:left="900" w:hanging="420"/>
      </w:pPr>
      <w:rPr>
        <w:rFonts w:hint="default" w:asciiTheme="minorHAnsi" w:hAnsiTheme="minorHAnsi" w:cstheme="minorHAnsi"/>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437F"/>
    <w:rsid w:val="000A0311"/>
    <w:rsid w:val="000C346C"/>
    <w:rsid w:val="0012480E"/>
    <w:rsid w:val="00172A27"/>
    <w:rsid w:val="00215B41"/>
    <w:rsid w:val="002E54CD"/>
    <w:rsid w:val="002F0BB0"/>
    <w:rsid w:val="00322DEE"/>
    <w:rsid w:val="0036675E"/>
    <w:rsid w:val="003F2C60"/>
    <w:rsid w:val="004B3104"/>
    <w:rsid w:val="005A5B9D"/>
    <w:rsid w:val="005A627B"/>
    <w:rsid w:val="0070681E"/>
    <w:rsid w:val="00730F41"/>
    <w:rsid w:val="00764FD5"/>
    <w:rsid w:val="00795CDA"/>
    <w:rsid w:val="00806EAB"/>
    <w:rsid w:val="00992475"/>
    <w:rsid w:val="009E2D9D"/>
    <w:rsid w:val="00A300E3"/>
    <w:rsid w:val="00A53F70"/>
    <w:rsid w:val="00B06A46"/>
    <w:rsid w:val="00C00078"/>
    <w:rsid w:val="00C41164"/>
    <w:rsid w:val="00D65719"/>
    <w:rsid w:val="00D7048B"/>
    <w:rsid w:val="00D7328A"/>
    <w:rsid w:val="00DC3341"/>
    <w:rsid w:val="00DD63F8"/>
    <w:rsid w:val="00ED4F74"/>
    <w:rsid w:val="00F73F2A"/>
    <w:rsid w:val="00FA3614"/>
    <w:rsid w:val="026B7F2B"/>
    <w:rsid w:val="029F0813"/>
    <w:rsid w:val="06D10002"/>
    <w:rsid w:val="075921A8"/>
    <w:rsid w:val="09ED5AB3"/>
    <w:rsid w:val="0A0B61BB"/>
    <w:rsid w:val="0A9A4930"/>
    <w:rsid w:val="0B40155F"/>
    <w:rsid w:val="0C6E0BF5"/>
    <w:rsid w:val="0D9538A5"/>
    <w:rsid w:val="0E597666"/>
    <w:rsid w:val="100B2FBD"/>
    <w:rsid w:val="12083D3B"/>
    <w:rsid w:val="14374802"/>
    <w:rsid w:val="161A4B40"/>
    <w:rsid w:val="1622543E"/>
    <w:rsid w:val="16B151DF"/>
    <w:rsid w:val="1721295C"/>
    <w:rsid w:val="190C30D7"/>
    <w:rsid w:val="19664025"/>
    <w:rsid w:val="1A065691"/>
    <w:rsid w:val="1AF129A1"/>
    <w:rsid w:val="1C574B5E"/>
    <w:rsid w:val="1CF10939"/>
    <w:rsid w:val="1D503E0C"/>
    <w:rsid w:val="1EED669D"/>
    <w:rsid w:val="1FA70B7C"/>
    <w:rsid w:val="1FEA4B49"/>
    <w:rsid w:val="23EC4C8F"/>
    <w:rsid w:val="25943515"/>
    <w:rsid w:val="263374D4"/>
    <w:rsid w:val="290F2785"/>
    <w:rsid w:val="29C277E5"/>
    <w:rsid w:val="2BBB018E"/>
    <w:rsid w:val="2C5E42AC"/>
    <w:rsid w:val="2CDD609E"/>
    <w:rsid w:val="2D2E0610"/>
    <w:rsid w:val="2ED14322"/>
    <w:rsid w:val="306C452D"/>
    <w:rsid w:val="31C17172"/>
    <w:rsid w:val="328F5845"/>
    <w:rsid w:val="33D652F5"/>
    <w:rsid w:val="33E04460"/>
    <w:rsid w:val="34714AE1"/>
    <w:rsid w:val="37027A13"/>
    <w:rsid w:val="383915D8"/>
    <w:rsid w:val="3A1A2F70"/>
    <w:rsid w:val="3AD35133"/>
    <w:rsid w:val="3B0A1BB1"/>
    <w:rsid w:val="3BE260CA"/>
    <w:rsid w:val="3C7374AF"/>
    <w:rsid w:val="3CD56A04"/>
    <w:rsid w:val="3FDE2CD0"/>
    <w:rsid w:val="41645FE1"/>
    <w:rsid w:val="41B678F4"/>
    <w:rsid w:val="42C30E22"/>
    <w:rsid w:val="43662318"/>
    <w:rsid w:val="46B56BC9"/>
    <w:rsid w:val="46C43A36"/>
    <w:rsid w:val="46FA6C48"/>
    <w:rsid w:val="47314AAA"/>
    <w:rsid w:val="4C40667E"/>
    <w:rsid w:val="4CE04326"/>
    <w:rsid w:val="4D5720C2"/>
    <w:rsid w:val="4D7D238E"/>
    <w:rsid w:val="507A37B2"/>
    <w:rsid w:val="509338FE"/>
    <w:rsid w:val="52523F64"/>
    <w:rsid w:val="52BC2285"/>
    <w:rsid w:val="53A50480"/>
    <w:rsid w:val="54014C3D"/>
    <w:rsid w:val="54C65840"/>
    <w:rsid w:val="54E45B15"/>
    <w:rsid w:val="562063F3"/>
    <w:rsid w:val="57AA4A0A"/>
    <w:rsid w:val="592E5947"/>
    <w:rsid w:val="5C217711"/>
    <w:rsid w:val="5C873FDB"/>
    <w:rsid w:val="5D792CEB"/>
    <w:rsid w:val="5E083E64"/>
    <w:rsid w:val="5E90626D"/>
    <w:rsid w:val="600063FF"/>
    <w:rsid w:val="61336C3D"/>
    <w:rsid w:val="64203E91"/>
    <w:rsid w:val="647217C1"/>
    <w:rsid w:val="64755863"/>
    <w:rsid w:val="64E1515F"/>
    <w:rsid w:val="653C764F"/>
    <w:rsid w:val="6559681D"/>
    <w:rsid w:val="65675E5F"/>
    <w:rsid w:val="672F4710"/>
    <w:rsid w:val="68A03F27"/>
    <w:rsid w:val="6B2C0AB9"/>
    <w:rsid w:val="6BB9592B"/>
    <w:rsid w:val="6CBA58B1"/>
    <w:rsid w:val="6CD041DD"/>
    <w:rsid w:val="6F4D18B3"/>
    <w:rsid w:val="6F6F015A"/>
    <w:rsid w:val="70341390"/>
    <w:rsid w:val="72814121"/>
    <w:rsid w:val="745166A9"/>
    <w:rsid w:val="752162BB"/>
    <w:rsid w:val="75BF5D0F"/>
    <w:rsid w:val="77472154"/>
    <w:rsid w:val="78996158"/>
    <w:rsid w:val="78B24DA8"/>
    <w:rsid w:val="7A944EAB"/>
    <w:rsid w:val="7BC069F8"/>
    <w:rsid w:val="7CFC1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6">
    <w:name w:val="Plain Text"/>
    <w:basedOn w:val="1"/>
    <w:qFormat/>
    <w:uiPriority w:val="0"/>
    <w:rPr>
      <w:rFonts w:ascii="宋体" w:hAnsi="Courier New" w:cs="Century"/>
    </w:r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character" w:styleId="10">
    <w:name w:val="Hyperlink"/>
    <w:qFormat/>
    <w:uiPriority w:val="0"/>
    <w:rPr>
      <w:color w:val="0000FF"/>
      <w:u w:val="single"/>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
    <w:name w:val="样式4"/>
    <w:basedOn w:val="5"/>
    <w:next w:val="1"/>
    <w:qFormat/>
    <w:uiPriority w:val="0"/>
    <w:rPr>
      <w:sz w:val="24"/>
    </w:rPr>
  </w:style>
  <w:style w:type="paragraph" w:customStyle="1" w:styleId="1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character" w:customStyle="1" w:styleId="16">
    <w:name w:val="页眉 字符"/>
    <w:basedOn w:val="9"/>
    <w:link w:val="8"/>
    <w:qFormat/>
    <w:uiPriority w:val="0"/>
    <w:rPr>
      <w:kern w:val="2"/>
      <w:sz w:val="18"/>
      <w:szCs w:val="18"/>
    </w:rPr>
  </w:style>
  <w:style w:type="character" w:customStyle="1" w:styleId="17">
    <w:name w:val="页脚 字符"/>
    <w:basedOn w:val="9"/>
    <w:link w:val="7"/>
    <w:qFormat/>
    <w:uiPriority w:val="0"/>
    <w:rPr>
      <w:kern w:val="2"/>
      <w:sz w:val="18"/>
      <w:szCs w:val="18"/>
    </w:rPr>
  </w:style>
  <w:style w:type="paragraph" w:customStyle="1" w:styleId="18">
    <w:name w:val="列出段落1"/>
    <w:basedOn w:val="1"/>
    <w:qFormat/>
    <w:uiPriority w:val="34"/>
    <w:pPr>
      <w:ind w:firstLine="420" w:firstLineChars="200"/>
    </w:pPr>
  </w:style>
  <w:style w:type="paragraph" w:styleId="19">
    <w:name w:val="List Paragraph"/>
    <w:basedOn w:val="1"/>
    <w:qFormat/>
    <w:uiPriority w:val="34"/>
    <w:pPr>
      <w:ind w:firstLine="420" w:firstLineChars="200"/>
    </w:pPr>
  </w:style>
  <w:style w:type="paragraph" w:customStyle="1" w:styleId="20">
    <w:name w:val="标书-正文"/>
    <w:basedOn w:val="1"/>
    <w:qFormat/>
    <w:uiPriority w:val="0"/>
    <w:pPr>
      <w:spacing w:before="56" w:after="113" w:line="360" w:lineRule="auto"/>
      <w:ind w:firstLine="200" w:firstLineChars="200"/>
      <w:jc w:val="left"/>
    </w:pPr>
    <w:rPr>
      <w:rFonts w:ascii="Arial" w:hAnsi="Arial"/>
    </w:rPr>
  </w:style>
  <w:style w:type="paragraph" w:customStyle="1" w:styleId="21">
    <w:name w:val="正式正文"/>
    <w:basedOn w:val="6"/>
    <w:qFormat/>
    <w:uiPriority w:val="0"/>
    <w:pPr>
      <w:snapToGrid w:val="0"/>
      <w:spacing w:line="360" w:lineRule="auto"/>
      <w:ind w:firstLine="200" w:firstLineChars="200"/>
      <w:jc w:val="left"/>
    </w:pPr>
    <w:rPr>
      <w:rFonts w:hAnsi="宋体" w:cs="Aria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13</Pages>
  <Words>6669</Words>
  <Characters>619</Characters>
  <Lines>5</Lines>
  <Paragraphs>14</Paragraphs>
  <TotalTime>13</TotalTime>
  <ScaleCrop>false</ScaleCrop>
  <LinksUpToDate>false</LinksUpToDate>
  <CharactersWithSpaces>7274</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2019-07-15T02:15:00Z</dcterms:created>
  <dc:creator>Administrator</dc:creator>
  <cp:lastModifiedBy>Administrator</cp:lastModifiedBy>
  <dcterms:modified xsi:type="dcterms:W3CDTF">2019-10-28T05:11:18Z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